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05D" w:rsidRPr="005F705D" w:rsidRDefault="005F705D" w:rsidP="005F705D">
      <w:pPr>
        <w:tabs>
          <w:tab w:val="left" w:pos="567"/>
        </w:tabs>
        <w:rPr>
          <w:b/>
          <w:sz w:val="24"/>
          <w:szCs w:val="24"/>
        </w:rPr>
      </w:pPr>
      <w:r w:rsidRPr="005F705D">
        <w:rPr>
          <w:b/>
          <w:sz w:val="24"/>
          <w:szCs w:val="24"/>
        </w:rPr>
        <w:t>3GPP TSG-RAN WG2 Meeting #1</w:t>
      </w:r>
      <w:r w:rsidR="00811FCD">
        <w:rPr>
          <w:b/>
          <w:sz w:val="24"/>
          <w:szCs w:val="24"/>
        </w:rPr>
        <w:t>06</w:t>
      </w:r>
      <w:r w:rsidRPr="005F705D">
        <w:rPr>
          <w:b/>
          <w:sz w:val="24"/>
          <w:szCs w:val="24"/>
        </w:rPr>
        <w:t xml:space="preserve">     </w:t>
      </w:r>
      <w:r w:rsidRPr="005F705D">
        <w:rPr>
          <w:b/>
          <w:sz w:val="24"/>
          <w:szCs w:val="24"/>
        </w:rPr>
        <w:tab/>
      </w:r>
      <w:r w:rsidRPr="005F705D">
        <w:rPr>
          <w:b/>
          <w:sz w:val="24"/>
          <w:szCs w:val="24"/>
        </w:rPr>
        <w:tab/>
      </w:r>
      <w:r>
        <w:rPr>
          <w:b/>
          <w:sz w:val="24"/>
          <w:szCs w:val="24"/>
        </w:rPr>
        <w:t xml:space="preserve">                                            </w:t>
      </w:r>
      <w:r w:rsidR="00890605" w:rsidRPr="00890605">
        <w:rPr>
          <w:b/>
          <w:sz w:val="24"/>
          <w:szCs w:val="24"/>
        </w:rPr>
        <w:t>R2-1907374</w:t>
      </w:r>
    </w:p>
    <w:p w:rsidR="000F259D" w:rsidRDefault="00811FCD" w:rsidP="005F705D">
      <w:pPr>
        <w:tabs>
          <w:tab w:val="left" w:pos="567"/>
        </w:tabs>
        <w:rPr>
          <w:b/>
          <w:sz w:val="24"/>
          <w:szCs w:val="24"/>
        </w:rPr>
      </w:pPr>
      <w:r>
        <w:rPr>
          <w:b/>
          <w:sz w:val="24"/>
          <w:szCs w:val="24"/>
        </w:rPr>
        <w:t>Reno</w:t>
      </w:r>
      <w:r w:rsidR="005F705D" w:rsidRPr="005F705D">
        <w:rPr>
          <w:b/>
          <w:sz w:val="24"/>
          <w:szCs w:val="24"/>
        </w:rPr>
        <w:t xml:space="preserve">, </w:t>
      </w:r>
      <w:r>
        <w:rPr>
          <w:b/>
          <w:sz w:val="24"/>
          <w:szCs w:val="24"/>
        </w:rPr>
        <w:t>USA</w:t>
      </w:r>
      <w:r w:rsidR="005F705D" w:rsidRPr="005F705D">
        <w:rPr>
          <w:b/>
          <w:sz w:val="24"/>
          <w:szCs w:val="24"/>
        </w:rPr>
        <w:t xml:space="preserve">, </w:t>
      </w:r>
      <w:r>
        <w:rPr>
          <w:b/>
          <w:sz w:val="24"/>
          <w:szCs w:val="24"/>
        </w:rPr>
        <w:t>13</w:t>
      </w:r>
      <w:r w:rsidR="00AF733C" w:rsidRPr="00AF733C">
        <w:rPr>
          <w:b/>
          <w:sz w:val="24"/>
          <w:szCs w:val="24"/>
          <w:vertAlign w:val="superscript"/>
        </w:rPr>
        <w:t>th</w:t>
      </w:r>
      <w:r w:rsidR="00AF733C">
        <w:rPr>
          <w:b/>
          <w:sz w:val="24"/>
          <w:szCs w:val="24"/>
          <w:vertAlign w:val="superscript"/>
        </w:rPr>
        <w:t xml:space="preserve"> </w:t>
      </w:r>
      <w:r>
        <w:rPr>
          <w:b/>
          <w:sz w:val="24"/>
          <w:szCs w:val="24"/>
        </w:rPr>
        <w:t>May</w:t>
      </w:r>
      <w:r w:rsidR="00AF733C">
        <w:rPr>
          <w:b/>
          <w:sz w:val="24"/>
          <w:szCs w:val="24"/>
        </w:rPr>
        <w:t xml:space="preserve"> – 1</w:t>
      </w:r>
      <w:r>
        <w:rPr>
          <w:b/>
          <w:sz w:val="24"/>
          <w:szCs w:val="24"/>
        </w:rPr>
        <w:t>7</w:t>
      </w:r>
      <w:r w:rsidR="00AF733C" w:rsidRPr="00AF733C">
        <w:rPr>
          <w:b/>
          <w:sz w:val="24"/>
          <w:szCs w:val="24"/>
          <w:vertAlign w:val="superscript"/>
        </w:rPr>
        <w:t>th</w:t>
      </w:r>
      <w:r w:rsidR="00AF733C">
        <w:rPr>
          <w:b/>
          <w:sz w:val="24"/>
          <w:szCs w:val="24"/>
        </w:rPr>
        <w:t xml:space="preserve"> </w:t>
      </w:r>
      <w:r>
        <w:rPr>
          <w:b/>
          <w:sz w:val="24"/>
          <w:szCs w:val="24"/>
        </w:rPr>
        <w:t>May</w:t>
      </w:r>
      <w:r w:rsidR="005F705D" w:rsidRPr="005F705D">
        <w:rPr>
          <w:b/>
          <w:sz w:val="24"/>
          <w:szCs w:val="24"/>
        </w:rPr>
        <w:t xml:space="preserve">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E06B55">
        <w:rPr>
          <w:b/>
          <w:sz w:val="24"/>
          <w:szCs w:val="24"/>
        </w:rPr>
        <w:t>11.1.</w:t>
      </w:r>
      <w:r w:rsidR="00AF733C">
        <w:rPr>
          <w:b/>
          <w:sz w:val="24"/>
          <w:szCs w:val="24"/>
        </w:rPr>
        <w:t>3</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F41D99" w:rsidRPr="00F41D99">
        <w:rPr>
          <w:b/>
          <w:sz w:val="24"/>
          <w:szCs w:val="24"/>
        </w:rPr>
        <w:t>Co-existence of centralized vs. local routing functionality for IAB</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A1043E" w:rsidRDefault="00A1043E" w:rsidP="00A1043E">
      <w:pPr>
        <w:rPr>
          <w:rFonts w:ascii="Calibri" w:eastAsia="Malgun Gothic" w:hAnsi="Calibri" w:cs="Batang"/>
          <w:lang w:val="en-GB" w:eastAsia="ko-KR"/>
        </w:rPr>
      </w:pPr>
      <w:r>
        <w:rPr>
          <w:rFonts w:ascii="Calibri" w:eastAsia="Malgun Gothic" w:hAnsi="Calibri" w:cs="Batang"/>
          <w:lang w:val="en-GB" w:eastAsia="ko-KR"/>
        </w:rPr>
        <w:t xml:space="preserve">Following the email discussion </w:t>
      </w:r>
      <w:r w:rsidRPr="009552CF">
        <w:rPr>
          <w:rFonts w:ascii="Calibri" w:eastAsia="Malgun Gothic" w:hAnsi="Calibri" w:cs="Batang"/>
          <w:lang w:val="en-GB" w:eastAsia="ko-KR"/>
        </w:rPr>
        <w:t xml:space="preserve">[105#46][IAB] Routing </w:t>
      </w:r>
      <w:r>
        <w:rPr>
          <w:rFonts w:ascii="Calibri" w:eastAsia="Malgun Gothic" w:hAnsi="Calibri" w:cs="Batang"/>
          <w:lang w:val="en-GB" w:eastAsia="ko-KR"/>
        </w:rPr>
        <w:t>[1], at the RAN2#105bis meeting the following agreements were made [2]:</w:t>
      </w:r>
      <w:r w:rsidRPr="00E148F7">
        <w:t xml:space="preserve"> </w:t>
      </w:r>
    </w:p>
    <w:p w:rsidR="00A1043E" w:rsidRPr="009F4C12" w:rsidRDefault="00A1043E" w:rsidP="00A1043E">
      <w:pPr>
        <w:pStyle w:val="ListParagraph"/>
        <w:numPr>
          <w:ilvl w:val="0"/>
          <w:numId w:val="21"/>
        </w:numPr>
        <w:pBdr>
          <w:top w:val="single" w:sz="4" w:space="1" w:color="auto"/>
          <w:left w:val="single" w:sz="4" w:space="4" w:color="auto"/>
          <w:bottom w:val="single" w:sz="4" w:space="1" w:color="auto"/>
          <w:right w:val="single" w:sz="4" w:space="4" w:color="auto"/>
        </w:pBdr>
        <w:tabs>
          <w:tab w:val="num" w:pos="1619"/>
        </w:tabs>
        <w:spacing w:after="0"/>
        <w:jc w:val="left"/>
        <w:rPr>
          <w:lang w:val="en-GB" w:eastAsia="ja-JP"/>
        </w:rPr>
      </w:pPr>
      <w:r w:rsidRPr="009F4C12">
        <w:rPr>
          <w:lang w:val="en-GB" w:eastAsia="ko-KR"/>
        </w:rPr>
        <w:t>Routing delivers a packet to a destination node by selecting a next backhaul link among given multiple backhaul links at an IAB node and an IAB donor node as a baseline.</w:t>
      </w:r>
    </w:p>
    <w:p w:rsidR="00A1043E" w:rsidRPr="009F4C12" w:rsidRDefault="00A1043E" w:rsidP="00A1043E">
      <w:pPr>
        <w:pStyle w:val="ListParagraph"/>
        <w:numPr>
          <w:ilvl w:val="0"/>
          <w:numId w:val="21"/>
        </w:numPr>
        <w:pBdr>
          <w:top w:val="single" w:sz="4" w:space="1" w:color="auto"/>
          <w:left w:val="single" w:sz="4" w:space="4" w:color="auto"/>
          <w:bottom w:val="single" w:sz="4" w:space="1" w:color="auto"/>
          <w:right w:val="single" w:sz="4" w:space="4" w:color="auto"/>
        </w:pBdr>
        <w:tabs>
          <w:tab w:val="num" w:pos="1619"/>
        </w:tabs>
        <w:spacing w:after="0"/>
        <w:jc w:val="left"/>
        <w:rPr>
          <w:lang w:val="en-GB" w:eastAsia="ja-JP"/>
        </w:rPr>
      </w:pPr>
      <w:r w:rsidRPr="009F4C12">
        <w:rPr>
          <w:lang w:val="en-GB" w:eastAsia="ko-KR"/>
        </w:rPr>
        <w:t>“Destination IAB node/IAB donor-DU address” and “Specific path identifier” (carried in the BAP) are considered as candidate for route identifier for routing at an adaptation layer. Additional required information for routing is FFS</w:t>
      </w:r>
    </w:p>
    <w:p w:rsidR="00A1043E" w:rsidRPr="009F4C12" w:rsidRDefault="00A1043E" w:rsidP="00A1043E">
      <w:pPr>
        <w:pStyle w:val="ListParagraph"/>
        <w:numPr>
          <w:ilvl w:val="0"/>
          <w:numId w:val="21"/>
        </w:numPr>
        <w:pBdr>
          <w:top w:val="single" w:sz="4" w:space="1" w:color="auto"/>
          <w:left w:val="single" w:sz="4" w:space="4" w:color="auto"/>
          <w:bottom w:val="single" w:sz="4" w:space="1" w:color="auto"/>
          <w:right w:val="single" w:sz="4" w:space="4" w:color="auto"/>
        </w:pBdr>
        <w:tabs>
          <w:tab w:val="num" w:pos="1619"/>
        </w:tabs>
        <w:spacing w:after="0"/>
        <w:jc w:val="left"/>
        <w:rPr>
          <w:lang w:val="en-GB" w:eastAsia="ko-KR"/>
        </w:rPr>
      </w:pPr>
      <w:r w:rsidRPr="009F4C12">
        <w:rPr>
          <w:lang w:val="en-GB" w:eastAsia="ko-KR"/>
        </w:rPr>
        <w:t xml:space="preserve">“Destination IAB node/IAB donor-DU address” and/or “Specific path identifier” is unique within an IAB donor-CU. </w:t>
      </w:r>
    </w:p>
    <w:p w:rsidR="00A1043E" w:rsidRPr="009F4C12" w:rsidRDefault="00A1043E" w:rsidP="00A1043E">
      <w:pPr>
        <w:pStyle w:val="ListParagraph"/>
        <w:numPr>
          <w:ilvl w:val="0"/>
          <w:numId w:val="21"/>
        </w:numPr>
        <w:pBdr>
          <w:top w:val="single" w:sz="4" w:space="1" w:color="auto"/>
          <w:left w:val="single" w:sz="4" w:space="4" w:color="auto"/>
          <w:bottom w:val="single" w:sz="4" w:space="1" w:color="auto"/>
          <w:right w:val="single" w:sz="4" w:space="4" w:color="auto"/>
        </w:pBdr>
        <w:tabs>
          <w:tab w:val="num" w:pos="1619"/>
        </w:tabs>
        <w:spacing w:after="0"/>
        <w:jc w:val="left"/>
        <w:rPr>
          <w:lang w:val="en-GB" w:eastAsia="ko-KR"/>
        </w:rPr>
      </w:pPr>
      <w:r w:rsidRPr="009F4C12">
        <w:rPr>
          <w:lang w:val="en-GB" w:eastAsia="ko-KR"/>
        </w:rPr>
        <w:t xml:space="preserve">FFS what ID is used to identify the egress link (next hop link) in routing table. C-RNTI alone will not be used for this purpose. </w:t>
      </w:r>
    </w:p>
    <w:p w:rsidR="00A1043E" w:rsidRPr="009F4C12" w:rsidRDefault="00A1043E" w:rsidP="00A1043E">
      <w:pPr>
        <w:pStyle w:val="ListParagraph"/>
        <w:numPr>
          <w:ilvl w:val="0"/>
          <w:numId w:val="21"/>
        </w:numPr>
        <w:pBdr>
          <w:top w:val="single" w:sz="4" w:space="1" w:color="auto"/>
          <w:left w:val="single" w:sz="4" w:space="4" w:color="auto"/>
          <w:bottom w:val="single" w:sz="4" w:space="1" w:color="auto"/>
          <w:right w:val="single" w:sz="4" w:space="4" w:color="auto"/>
        </w:pBdr>
        <w:tabs>
          <w:tab w:val="num" w:pos="1619"/>
        </w:tabs>
        <w:spacing w:after="0"/>
        <w:jc w:val="left"/>
        <w:rPr>
          <w:lang w:val="en-GB" w:eastAsia="ko-KR"/>
        </w:rPr>
      </w:pPr>
      <w:r w:rsidRPr="009F4C12">
        <w:rPr>
          <w:lang w:val="en-GB" w:eastAsia="ko-KR"/>
        </w:rPr>
        <w:t>Load balancing by routing by Donor CU shall be possible</w:t>
      </w:r>
    </w:p>
    <w:p w:rsidR="00A1043E" w:rsidRPr="009F4C12" w:rsidRDefault="00A1043E" w:rsidP="00A1043E">
      <w:pPr>
        <w:pStyle w:val="ListParagraph"/>
        <w:numPr>
          <w:ilvl w:val="0"/>
          <w:numId w:val="21"/>
        </w:numPr>
        <w:pBdr>
          <w:top w:val="single" w:sz="4" w:space="1" w:color="auto"/>
          <w:left w:val="single" w:sz="4" w:space="4" w:color="auto"/>
          <w:bottom w:val="single" w:sz="4" w:space="1" w:color="auto"/>
          <w:right w:val="single" w:sz="4" w:space="4" w:color="auto"/>
        </w:pBdr>
        <w:tabs>
          <w:tab w:val="num" w:pos="1619"/>
        </w:tabs>
        <w:spacing w:after="0"/>
        <w:jc w:val="left"/>
        <w:rPr>
          <w:lang w:val="en-GB" w:eastAsia="ko-KR"/>
        </w:rPr>
      </w:pPr>
      <w:r w:rsidRPr="009F4C12">
        <w:rPr>
          <w:lang w:val="en-GB" w:eastAsia="ko-KR"/>
        </w:rPr>
        <w:t>Local selection of path/route is done at link failure, other cases FFS</w:t>
      </w:r>
    </w:p>
    <w:p w:rsidR="00A1043E" w:rsidRDefault="00A1043E" w:rsidP="00A1043E">
      <w:pPr>
        <w:rPr>
          <w:rFonts w:ascii="Calibri" w:eastAsia="Malgun Gothic" w:hAnsi="Calibri" w:cs="Batang"/>
          <w:lang w:val="en-GB" w:eastAsia="ko-KR"/>
        </w:rPr>
      </w:pPr>
    </w:p>
    <w:p w:rsidR="00A61CB6" w:rsidRDefault="00CF6C7D" w:rsidP="00A1043E">
      <w:pPr>
        <w:rPr>
          <w:rFonts w:ascii="Calibri" w:eastAsia="Malgun Gothic" w:hAnsi="Calibri" w:cs="Batang"/>
          <w:lang w:val="en-GB" w:eastAsia="ko-KR"/>
        </w:rPr>
      </w:pPr>
      <w:r>
        <w:rPr>
          <w:rFonts w:ascii="Calibri" w:eastAsia="Malgun Gothic" w:hAnsi="Calibri" w:cs="Batang"/>
          <w:lang w:val="en-GB" w:eastAsia="ko-KR"/>
        </w:rPr>
        <w:t xml:space="preserve">Per above agreements, the two main types of route identifiers being considered for BAP layer routing are destination ID and path ID, with additional information being FFS. </w:t>
      </w:r>
      <w:r w:rsidR="004559AA">
        <w:rPr>
          <w:rFonts w:ascii="Calibri" w:eastAsia="Malgun Gothic" w:hAnsi="Calibri" w:cs="Batang"/>
          <w:lang w:val="en-GB" w:eastAsia="ko-KR"/>
        </w:rPr>
        <w:t xml:space="preserve">One of the </w:t>
      </w:r>
      <w:r>
        <w:rPr>
          <w:rFonts w:ascii="Calibri" w:eastAsia="Malgun Gothic" w:hAnsi="Calibri" w:cs="Batang"/>
          <w:lang w:val="en-GB" w:eastAsia="ko-KR"/>
        </w:rPr>
        <w:t xml:space="preserve">related </w:t>
      </w:r>
      <w:r w:rsidR="004559AA">
        <w:rPr>
          <w:rFonts w:ascii="Calibri" w:eastAsia="Malgun Gothic" w:hAnsi="Calibri" w:cs="Batang"/>
          <w:lang w:val="en-GB" w:eastAsia="ko-KR"/>
        </w:rPr>
        <w:t>issues that</w:t>
      </w:r>
      <w:r w:rsidR="0008078C">
        <w:rPr>
          <w:rFonts w:ascii="Calibri" w:eastAsia="Malgun Gothic" w:hAnsi="Calibri" w:cs="Batang"/>
          <w:lang w:val="en-GB" w:eastAsia="ko-KR"/>
        </w:rPr>
        <w:t xml:space="preserve"> has come up in the email discussion [1] </w:t>
      </w:r>
      <w:r>
        <w:rPr>
          <w:rFonts w:ascii="Calibri" w:eastAsia="Malgun Gothic" w:hAnsi="Calibri" w:cs="Batang"/>
          <w:lang w:val="en-GB" w:eastAsia="ko-KR"/>
        </w:rPr>
        <w:t>is about the</w:t>
      </w:r>
      <w:r w:rsidR="0008078C">
        <w:rPr>
          <w:rFonts w:ascii="Calibri" w:eastAsia="Malgun Gothic" w:hAnsi="Calibri" w:cs="Batang"/>
          <w:lang w:val="en-GB" w:eastAsia="ko-KR"/>
        </w:rPr>
        <w:t xml:space="preserve"> donor CU controlling the routing </w:t>
      </w:r>
      <w:r w:rsidR="00890605">
        <w:rPr>
          <w:rFonts w:ascii="Calibri" w:eastAsia="Malgun Gothic" w:hAnsi="Calibri" w:cs="Batang"/>
          <w:lang w:val="en-GB" w:eastAsia="ko-KR"/>
        </w:rPr>
        <w:t>and also influencing</w:t>
      </w:r>
      <w:r w:rsidR="0008078C">
        <w:rPr>
          <w:rFonts w:ascii="Calibri" w:eastAsia="Malgun Gothic" w:hAnsi="Calibri" w:cs="Batang"/>
          <w:lang w:val="en-GB" w:eastAsia="ko-KR"/>
        </w:rPr>
        <w:t xml:space="preserve"> the IAB nodes to perform local selection</w:t>
      </w:r>
      <w:r>
        <w:rPr>
          <w:rFonts w:ascii="Calibri" w:eastAsia="Malgun Gothic" w:hAnsi="Calibri" w:cs="Batang"/>
          <w:lang w:val="en-GB" w:eastAsia="ko-KR"/>
        </w:rPr>
        <w:t xml:space="preserve"> upon link failure</w:t>
      </w:r>
      <w:r w:rsidR="0008078C">
        <w:rPr>
          <w:rFonts w:ascii="Calibri" w:eastAsia="Malgun Gothic" w:hAnsi="Calibri" w:cs="Batang"/>
          <w:lang w:val="en-GB" w:eastAsia="ko-KR"/>
        </w:rPr>
        <w:t>.</w:t>
      </w:r>
      <w:r>
        <w:rPr>
          <w:rFonts w:ascii="Calibri" w:eastAsia="Malgun Gothic" w:hAnsi="Calibri" w:cs="Batang"/>
          <w:lang w:val="en-GB" w:eastAsia="ko-KR"/>
        </w:rPr>
        <w:t xml:space="preserve"> Especially when there are multiple routes configured to the same destination node, this co-existence of central routing control with local selection needs some discussion, which is presented in this contribution.</w:t>
      </w:r>
    </w:p>
    <w:p w:rsidR="00A61CB6" w:rsidRPr="004131D6" w:rsidRDefault="00A61CB6" w:rsidP="004A7002">
      <w:pPr>
        <w:rPr>
          <w:rFonts w:ascii="Calibri" w:eastAsia="Malgun Gothic" w:hAnsi="Calibri" w:cs="Batang"/>
          <w:lang w:val="en-GB" w:eastAsia="ko-KR"/>
        </w:rPr>
      </w:pPr>
    </w:p>
    <w:p w:rsidR="004A7002" w:rsidRDefault="00CF6C7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Central</w:t>
      </w:r>
      <w:r w:rsidR="00DA52F4">
        <w:t>ized</w:t>
      </w:r>
      <w:r>
        <w:t xml:space="preserve"> Routing Control with Local Selection</w:t>
      </w:r>
    </w:p>
    <w:p w:rsidR="0069142B" w:rsidRDefault="00CF6C7D" w:rsidP="004A7002">
      <w:pPr>
        <w:rPr>
          <w:rFonts w:ascii="Calibri" w:eastAsia="Malgun Gothic" w:hAnsi="Calibri" w:cs="Batang"/>
          <w:lang w:val="en-GB" w:eastAsia="ko-KR"/>
        </w:rPr>
      </w:pPr>
      <w:r>
        <w:rPr>
          <w:rFonts w:ascii="Calibri" w:eastAsia="Malgun Gothic" w:hAnsi="Calibri" w:cs="Batang"/>
          <w:lang w:val="en-GB" w:eastAsia="ko-KR"/>
        </w:rPr>
        <w:t>In a multi-hop IAB network where multiple routes can be configured to the same destination node, the donor CU can configure routing tables at IAB nodes</w:t>
      </w:r>
      <w:r w:rsidR="0055514B">
        <w:rPr>
          <w:rFonts w:ascii="Calibri" w:eastAsia="Malgun Gothic" w:hAnsi="Calibri" w:cs="Batang"/>
          <w:lang w:val="en-GB" w:eastAsia="ko-KR"/>
        </w:rPr>
        <w:t xml:space="preserve">. When there is a link failure at an IAB node, per agreement from RAN2#105bis, the IAB node performs a local </w:t>
      </w:r>
      <w:r w:rsidR="000F41FD">
        <w:rPr>
          <w:rFonts w:ascii="Calibri" w:eastAsia="Malgun Gothic" w:hAnsi="Calibri" w:cs="Batang"/>
          <w:lang w:val="en-GB" w:eastAsia="ko-KR"/>
        </w:rPr>
        <w:t xml:space="preserve">path </w:t>
      </w:r>
      <w:r w:rsidR="0055514B">
        <w:rPr>
          <w:rFonts w:ascii="Calibri" w:eastAsia="Malgun Gothic" w:hAnsi="Calibri" w:cs="Batang"/>
          <w:lang w:val="en-GB" w:eastAsia="ko-KR"/>
        </w:rPr>
        <w:t xml:space="preserve">selection. </w:t>
      </w:r>
      <w:r w:rsidR="000F41FD">
        <w:rPr>
          <w:rFonts w:ascii="Calibri" w:eastAsia="Malgun Gothic" w:hAnsi="Calibri" w:cs="Batang"/>
          <w:lang w:val="en-GB" w:eastAsia="ko-KR"/>
        </w:rPr>
        <w:t xml:space="preserve">When there are only two routes configured at an IAB node for the same destination node, the local selection decision is trivial </w:t>
      </w:r>
      <w:r w:rsidR="00665165">
        <w:rPr>
          <w:rFonts w:ascii="Calibri" w:eastAsia="Malgun Gothic" w:hAnsi="Calibri" w:cs="Batang"/>
          <w:lang w:val="en-GB" w:eastAsia="ko-KR"/>
        </w:rPr>
        <w:t>in case of</w:t>
      </w:r>
      <w:r w:rsidR="000F41FD">
        <w:rPr>
          <w:rFonts w:ascii="Calibri" w:eastAsia="Malgun Gothic" w:hAnsi="Calibri" w:cs="Batang"/>
          <w:lang w:val="en-GB" w:eastAsia="ko-KR"/>
        </w:rPr>
        <w:t xml:space="preserve"> link failure because the IAB node would simply pick the other configured path or route. </w:t>
      </w:r>
    </w:p>
    <w:p w:rsidR="0069142B" w:rsidRDefault="000F41FD" w:rsidP="004A7002">
      <w:pPr>
        <w:rPr>
          <w:rFonts w:ascii="Calibri" w:eastAsia="Malgun Gothic" w:hAnsi="Calibri" w:cs="Batang"/>
          <w:lang w:val="en-GB" w:eastAsia="ko-KR"/>
        </w:rPr>
      </w:pPr>
      <w:r>
        <w:rPr>
          <w:rFonts w:ascii="Calibri" w:eastAsia="Malgun Gothic" w:hAnsi="Calibri" w:cs="Batang"/>
          <w:lang w:val="en-GB" w:eastAsia="ko-KR"/>
        </w:rPr>
        <w:t>However, when more than two routes are configured</w:t>
      </w:r>
      <w:r w:rsidR="0069142B">
        <w:rPr>
          <w:rFonts w:ascii="Calibri" w:eastAsia="Malgun Gothic" w:hAnsi="Calibri" w:cs="Batang"/>
          <w:lang w:val="en-GB" w:eastAsia="ko-KR"/>
        </w:rPr>
        <w:t xml:space="preserve"> to the same destination node</w:t>
      </w:r>
      <w:r>
        <w:rPr>
          <w:rFonts w:ascii="Calibri" w:eastAsia="Malgun Gothic" w:hAnsi="Calibri" w:cs="Batang"/>
          <w:lang w:val="en-GB" w:eastAsia="ko-KR"/>
        </w:rPr>
        <w:t xml:space="preserve">, a link failure condition on one of the paths would cause a </w:t>
      </w:r>
      <w:r w:rsidR="0069142B">
        <w:rPr>
          <w:rFonts w:ascii="Calibri" w:eastAsia="Malgun Gothic" w:hAnsi="Calibri" w:cs="Batang"/>
          <w:lang w:val="en-GB" w:eastAsia="ko-KR"/>
        </w:rPr>
        <w:t xml:space="preserve">path selection </w:t>
      </w:r>
      <w:r>
        <w:rPr>
          <w:rFonts w:ascii="Calibri" w:eastAsia="Malgun Gothic" w:hAnsi="Calibri" w:cs="Batang"/>
          <w:lang w:val="en-GB" w:eastAsia="ko-KR"/>
        </w:rPr>
        <w:t>dilemma at the IAB node. Also</w:t>
      </w:r>
      <w:r w:rsidRPr="0055514B">
        <w:rPr>
          <w:rFonts w:ascii="Calibri" w:eastAsia="Malgun Gothic" w:hAnsi="Calibri" w:cs="Batang"/>
          <w:lang w:val="en-GB" w:eastAsia="ko-KR"/>
        </w:rPr>
        <w:t>, per agreement</w:t>
      </w:r>
      <w:r>
        <w:rPr>
          <w:rFonts w:ascii="Calibri" w:eastAsia="Malgun Gothic" w:hAnsi="Calibri" w:cs="Batang"/>
          <w:lang w:val="en-GB" w:eastAsia="ko-KR"/>
        </w:rPr>
        <w:t xml:space="preserve"> from RAN2#105bis</w:t>
      </w:r>
      <w:r w:rsidRPr="0055514B">
        <w:rPr>
          <w:rFonts w:ascii="Calibri" w:eastAsia="Malgun Gothic" w:hAnsi="Calibri" w:cs="Batang"/>
          <w:lang w:val="en-GB" w:eastAsia="ko-KR"/>
        </w:rPr>
        <w:t>,</w:t>
      </w:r>
      <w:r>
        <w:rPr>
          <w:rFonts w:ascii="Calibri" w:eastAsia="Malgun Gothic" w:hAnsi="Calibri" w:cs="Batang"/>
          <w:lang w:val="en-GB" w:eastAsia="ko-KR"/>
        </w:rPr>
        <w:t xml:space="preserve"> cases</w:t>
      </w:r>
      <w:r w:rsidRPr="0055514B">
        <w:rPr>
          <w:rFonts w:ascii="Calibri" w:eastAsia="Malgun Gothic" w:hAnsi="Calibri" w:cs="Batang"/>
          <w:lang w:val="en-GB" w:eastAsia="ko-KR"/>
        </w:rPr>
        <w:t xml:space="preserve"> for local selection </w:t>
      </w:r>
      <w:r>
        <w:rPr>
          <w:rFonts w:ascii="Calibri" w:eastAsia="Malgun Gothic" w:hAnsi="Calibri" w:cs="Batang"/>
          <w:lang w:val="en-GB" w:eastAsia="ko-KR"/>
        </w:rPr>
        <w:t xml:space="preserve">other than link failure </w:t>
      </w:r>
      <w:r w:rsidRPr="0055514B">
        <w:rPr>
          <w:rFonts w:ascii="Calibri" w:eastAsia="Malgun Gothic" w:hAnsi="Calibri" w:cs="Batang"/>
          <w:lang w:val="en-GB" w:eastAsia="ko-KR"/>
        </w:rPr>
        <w:t>are still FFS</w:t>
      </w:r>
      <w:r>
        <w:rPr>
          <w:rFonts w:ascii="Calibri" w:eastAsia="Malgun Gothic" w:hAnsi="Calibri" w:cs="Batang"/>
          <w:lang w:val="en-GB" w:eastAsia="ko-KR"/>
        </w:rPr>
        <w:t>. So,</w:t>
      </w:r>
      <w:r w:rsidR="0069142B">
        <w:rPr>
          <w:rFonts w:ascii="Calibri" w:eastAsia="Malgun Gothic" w:hAnsi="Calibri" w:cs="Batang"/>
          <w:lang w:val="en-GB" w:eastAsia="ko-KR"/>
        </w:rPr>
        <w:t xml:space="preserve"> depending upon how RAN2 resolves that FFS condition,</w:t>
      </w:r>
      <w:r>
        <w:rPr>
          <w:rFonts w:ascii="Calibri" w:eastAsia="Malgun Gothic" w:hAnsi="Calibri" w:cs="Batang"/>
          <w:lang w:val="en-GB" w:eastAsia="ko-KR"/>
        </w:rPr>
        <w:t xml:space="preserve"> it is possible that even when two routes are configured, there may be a need to enable the IAB node to make the correct local selection decision. </w:t>
      </w:r>
    </w:p>
    <w:p w:rsidR="00CF6C7D" w:rsidRDefault="00C36065" w:rsidP="004A7002">
      <w:pPr>
        <w:rPr>
          <w:rFonts w:ascii="Calibri" w:eastAsia="Malgun Gothic" w:hAnsi="Calibri" w:cs="Batang"/>
          <w:lang w:val="en-GB" w:eastAsia="ko-KR"/>
        </w:rPr>
      </w:pPr>
      <w:r>
        <w:rPr>
          <w:rFonts w:ascii="Calibri" w:eastAsia="Malgun Gothic" w:hAnsi="Calibri" w:cs="Batang"/>
          <w:lang w:val="en-GB" w:eastAsia="ko-KR"/>
        </w:rPr>
        <w:t>In such cases, d</w:t>
      </w:r>
      <w:r w:rsidR="0055514B">
        <w:rPr>
          <w:rFonts w:ascii="Calibri" w:eastAsia="Malgun Gothic" w:hAnsi="Calibri" w:cs="Batang"/>
          <w:lang w:val="en-GB" w:eastAsia="ko-KR"/>
        </w:rPr>
        <w:t>epending upon whether the routing identifier is destination ID or path ID, the following situation may occur:</w:t>
      </w:r>
    </w:p>
    <w:p w:rsidR="0055514B" w:rsidRDefault="0055514B" w:rsidP="0055514B">
      <w:pPr>
        <w:pStyle w:val="ListParagraph"/>
        <w:numPr>
          <w:ilvl w:val="0"/>
          <w:numId w:val="22"/>
        </w:numPr>
        <w:rPr>
          <w:rFonts w:ascii="Calibri" w:eastAsia="Malgun Gothic" w:hAnsi="Calibri" w:cs="Batang"/>
          <w:lang w:val="en-GB" w:eastAsia="ko-KR"/>
        </w:rPr>
      </w:pPr>
      <w:r>
        <w:rPr>
          <w:rFonts w:ascii="Calibri" w:eastAsia="Malgun Gothic" w:hAnsi="Calibri" w:cs="Batang"/>
          <w:lang w:val="en-GB" w:eastAsia="ko-KR"/>
        </w:rPr>
        <w:t xml:space="preserve">When destination ID is used as the route identifier, the routing table at the IAB node may have multiple entries configured for the same destination ID. However, the IAB node may have no information to enable it to make the correct local selection decision </w:t>
      </w:r>
      <w:r w:rsidR="000F41FD">
        <w:rPr>
          <w:rFonts w:ascii="Calibri" w:eastAsia="Malgun Gothic" w:hAnsi="Calibri" w:cs="Batang"/>
          <w:lang w:val="en-GB" w:eastAsia="ko-KR"/>
        </w:rPr>
        <w:t>in case of link failure or other FFS cases</w:t>
      </w:r>
      <w:r>
        <w:rPr>
          <w:rFonts w:ascii="Calibri" w:eastAsia="Malgun Gothic" w:hAnsi="Calibri" w:cs="Batang"/>
          <w:lang w:val="en-GB" w:eastAsia="ko-KR"/>
        </w:rPr>
        <w:t xml:space="preserve">. </w:t>
      </w:r>
    </w:p>
    <w:p w:rsidR="0055514B" w:rsidRDefault="0055514B" w:rsidP="0055514B">
      <w:pPr>
        <w:pStyle w:val="ListParagraph"/>
        <w:numPr>
          <w:ilvl w:val="0"/>
          <w:numId w:val="22"/>
        </w:numPr>
        <w:rPr>
          <w:rFonts w:ascii="Calibri" w:eastAsia="Malgun Gothic" w:hAnsi="Calibri" w:cs="Batang"/>
          <w:lang w:val="en-GB" w:eastAsia="ko-KR"/>
        </w:rPr>
      </w:pPr>
      <w:r>
        <w:rPr>
          <w:rFonts w:ascii="Calibri" w:eastAsia="Malgun Gothic" w:hAnsi="Calibri" w:cs="Batang"/>
          <w:lang w:val="en-GB" w:eastAsia="ko-KR"/>
        </w:rPr>
        <w:lastRenderedPageBreak/>
        <w:t xml:space="preserve">When path ID is used as the route identifier, the routing table at the IAB node may have multiple paths that lead to the same destination node. However, in this case also, the IAB node may have no information to enable it to make the correct local selection decision </w:t>
      </w:r>
      <w:r w:rsidR="000F41FD">
        <w:rPr>
          <w:rFonts w:ascii="Calibri" w:eastAsia="Malgun Gothic" w:hAnsi="Calibri" w:cs="Batang"/>
          <w:lang w:val="en-GB" w:eastAsia="ko-KR"/>
        </w:rPr>
        <w:t>in case of link failure or other FFS cases</w:t>
      </w:r>
      <w:r>
        <w:rPr>
          <w:rFonts w:ascii="Calibri" w:eastAsia="Malgun Gothic" w:hAnsi="Calibri" w:cs="Batang"/>
          <w:lang w:val="en-GB" w:eastAsia="ko-KR"/>
        </w:rPr>
        <w:t>.</w:t>
      </w:r>
    </w:p>
    <w:p w:rsidR="00ED1CBF" w:rsidRPr="00ED1CBF" w:rsidRDefault="00ED1CBF" w:rsidP="0055514B">
      <w:pPr>
        <w:rPr>
          <w:rFonts w:ascii="Calibri" w:eastAsia="Malgun Gothic" w:hAnsi="Calibri" w:cs="Batang"/>
          <w:b/>
          <w:lang w:val="en-GB" w:eastAsia="ko-KR"/>
        </w:rPr>
      </w:pPr>
      <w:r w:rsidRPr="00ED1CBF">
        <w:rPr>
          <w:rFonts w:ascii="Calibri" w:eastAsia="Malgun Gothic" w:hAnsi="Calibri" w:cs="Batang"/>
          <w:b/>
          <w:lang w:val="en-GB" w:eastAsia="ko-KR"/>
        </w:rPr>
        <w:t>Observation 1: When there are multiple routes configured for the same destination at an IAB node, for either destination ID based routing or path ID based routing schemes, the IAB node may need to be provided some additional information to enable it to make correct local selection decision</w:t>
      </w:r>
      <w:r w:rsidR="005D78CA">
        <w:rPr>
          <w:rFonts w:ascii="Calibri" w:eastAsia="Malgun Gothic" w:hAnsi="Calibri" w:cs="Batang"/>
          <w:b/>
          <w:lang w:val="en-GB" w:eastAsia="ko-KR"/>
        </w:rPr>
        <w:t>s</w:t>
      </w:r>
      <w:r w:rsidRPr="00ED1CBF">
        <w:rPr>
          <w:rFonts w:ascii="Calibri" w:eastAsia="Malgun Gothic" w:hAnsi="Calibri" w:cs="Batang"/>
          <w:b/>
          <w:lang w:val="en-GB" w:eastAsia="ko-KR"/>
        </w:rPr>
        <w:t xml:space="preserve"> in case of link failure or other FFS cases. </w:t>
      </w:r>
    </w:p>
    <w:p w:rsidR="00ED1CBF" w:rsidRDefault="001241A4" w:rsidP="0055514B">
      <w:pPr>
        <w:rPr>
          <w:rFonts w:ascii="Calibri" w:eastAsia="Malgun Gothic" w:hAnsi="Calibri" w:cs="Batang"/>
          <w:lang w:val="en-GB" w:eastAsia="ko-KR"/>
        </w:rPr>
      </w:pPr>
      <w:r>
        <w:rPr>
          <w:rFonts w:ascii="Calibri" w:eastAsia="Malgun Gothic" w:hAnsi="Calibri" w:cs="Batang"/>
          <w:lang w:val="en-GB" w:eastAsia="ko-KR"/>
        </w:rPr>
        <w:t xml:space="preserve">During the </w:t>
      </w:r>
      <w:r w:rsidR="000F41FD">
        <w:rPr>
          <w:rFonts w:ascii="Calibri" w:eastAsia="Malgun Gothic" w:hAnsi="Calibri" w:cs="Batang"/>
          <w:lang w:val="en-GB" w:eastAsia="ko-KR"/>
        </w:rPr>
        <w:t>RAN2 email discussion on IAB Routing [1] the following route selection candidates</w:t>
      </w:r>
      <w:r w:rsidR="004128F8">
        <w:rPr>
          <w:rFonts w:ascii="Calibri" w:eastAsia="Malgun Gothic" w:hAnsi="Calibri" w:cs="Batang"/>
          <w:lang w:val="en-GB" w:eastAsia="ko-KR"/>
        </w:rPr>
        <w:t xml:space="preserve"> </w:t>
      </w:r>
      <w:r w:rsidR="000F41FD">
        <w:rPr>
          <w:rFonts w:ascii="Calibri" w:eastAsia="Malgun Gothic" w:hAnsi="Calibri" w:cs="Batang"/>
          <w:lang w:val="en-GB" w:eastAsia="ko-KR"/>
        </w:rPr>
        <w:t>were considered:</w:t>
      </w:r>
    </w:p>
    <w:p w:rsidR="000F41FD" w:rsidRDefault="000F41FD" w:rsidP="000F41FD">
      <w:pPr>
        <w:pStyle w:val="BodyText"/>
        <w:numPr>
          <w:ilvl w:val="0"/>
          <w:numId w:val="23"/>
        </w:numPr>
        <w:overflowPunct w:val="0"/>
        <w:autoSpaceDE w:val="0"/>
        <w:autoSpaceDN w:val="0"/>
        <w:adjustRightInd w:val="0"/>
        <w:spacing w:before="0" w:line="259" w:lineRule="auto"/>
        <w:textAlignment w:val="baseline"/>
        <w:rPr>
          <w:rFonts w:ascii="Times New Roman" w:hAnsi="Times New Roman"/>
          <w:sz w:val="22"/>
          <w:lang w:eastAsia="ko-KR"/>
        </w:rPr>
      </w:pPr>
      <w:r>
        <w:rPr>
          <w:rFonts w:ascii="Times New Roman" w:hAnsi="Times New Roman"/>
          <w:sz w:val="22"/>
          <w:lang w:eastAsia="ko-KR"/>
        </w:rPr>
        <w:t>O</w:t>
      </w:r>
      <w:r>
        <w:rPr>
          <w:rFonts w:ascii="Times New Roman" w:hAnsi="Times New Roman" w:hint="eastAsia"/>
          <w:sz w:val="22"/>
          <w:lang w:eastAsia="ko-KR"/>
        </w:rPr>
        <w:t xml:space="preserve">ption </w:t>
      </w:r>
      <w:r>
        <w:rPr>
          <w:rFonts w:ascii="Times New Roman" w:hAnsi="Times New Roman"/>
          <w:sz w:val="22"/>
          <w:lang w:eastAsia="ko-KR"/>
        </w:rPr>
        <w:t>1a: destination address + additional identifier which may be carried by adaptation header.</w:t>
      </w:r>
    </w:p>
    <w:p w:rsidR="000F41FD" w:rsidRDefault="000F41FD" w:rsidP="000F41FD">
      <w:pPr>
        <w:pStyle w:val="BodyText"/>
        <w:numPr>
          <w:ilvl w:val="0"/>
          <w:numId w:val="23"/>
        </w:numPr>
        <w:overflowPunct w:val="0"/>
        <w:autoSpaceDE w:val="0"/>
        <w:autoSpaceDN w:val="0"/>
        <w:adjustRightInd w:val="0"/>
        <w:spacing w:before="0" w:line="259" w:lineRule="auto"/>
        <w:textAlignment w:val="baseline"/>
        <w:rPr>
          <w:rFonts w:ascii="Times New Roman" w:hAnsi="Times New Roman"/>
          <w:sz w:val="22"/>
          <w:lang w:eastAsia="ko-KR"/>
        </w:rPr>
      </w:pPr>
      <w:r>
        <w:rPr>
          <w:rFonts w:ascii="Times New Roman" w:hAnsi="Times New Roman"/>
          <w:sz w:val="22"/>
          <w:lang w:eastAsia="ko-KR"/>
        </w:rPr>
        <w:t>O</w:t>
      </w:r>
      <w:r>
        <w:rPr>
          <w:rFonts w:ascii="Times New Roman" w:hAnsi="Times New Roman" w:hint="eastAsia"/>
          <w:sz w:val="22"/>
          <w:lang w:eastAsia="ko-KR"/>
        </w:rPr>
        <w:t xml:space="preserve">ption </w:t>
      </w:r>
      <w:r>
        <w:rPr>
          <w:rFonts w:ascii="Times New Roman" w:hAnsi="Times New Roman"/>
          <w:sz w:val="22"/>
          <w:lang w:eastAsia="ko-KR"/>
        </w:rPr>
        <w:t>1b: destination address + cost which may be managed by the IAB node.</w:t>
      </w:r>
    </w:p>
    <w:p w:rsidR="000F41FD" w:rsidRDefault="000F41FD" w:rsidP="000F41FD">
      <w:pPr>
        <w:pStyle w:val="BodyText"/>
        <w:numPr>
          <w:ilvl w:val="0"/>
          <w:numId w:val="23"/>
        </w:numPr>
        <w:overflowPunct w:val="0"/>
        <w:autoSpaceDE w:val="0"/>
        <w:autoSpaceDN w:val="0"/>
        <w:adjustRightInd w:val="0"/>
        <w:spacing w:before="0" w:line="259" w:lineRule="auto"/>
        <w:textAlignment w:val="baseline"/>
        <w:rPr>
          <w:rFonts w:ascii="Times New Roman" w:hAnsi="Times New Roman"/>
          <w:sz w:val="22"/>
          <w:lang w:eastAsia="ko-KR"/>
        </w:rPr>
      </w:pPr>
      <w:r>
        <w:rPr>
          <w:rFonts w:ascii="Times New Roman" w:hAnsi="Times New Roman"/>
          <w:sz w:val="22"/>
          <w:lang w:eastAsia="ko-KR"/>
        </w:rPr>
        <w:t>Option 2: Each path is uniquely identified by path identifier.</w:t>
      </w:r>
    </w:p>
    <w:p w:rsidR="000F41FD" w:rsidRDefault="000F41FD" w:rsidP="0055514B">
      <w:pPr>
        <w:rPr>
          <w:rFonts w:ascii="Calibri" w:eastAsia="Malgun Gothic" w:hAnsi="Calibri" w:cs="Batang"/>
          <w:lang w:val="en-GB" w:eastAsia="ko-KR"/>
        </w:rPr>
      </w:pPr>
      <w:r>
        <w:rPr>
          <w:rFonts w:ascii="Calibri" w:eastAsia="Malgun Gothic" w:hAnsi="Calibri" w:cs="Batang"/>
          <w:lang w:val="en-GB" w:eastAsia="ko-KR"/>
        </w:rPr>
        <w:t xml:space="preserve">Unfortunately, none of these candidates fully enable the donor CU to control routing </w:t>
      </w:r>
      <w:r w:rsidR="002654F5">
        <w:rPr>
          <w:rFonts w:ascii="Calibri" w:eastAsia="Malgun Gothic" w:hAnsi="Calibri" w:cs="Batang"/>
          <w:lang w:val="en-GB" w:eastAsia="ko-KR"/>
        </w:rPr>
        <w:t xml:space="preserve">and </w:t>
      </w:r>
      <w:r w:rsidR="005D78CA">
        <w:rPr>
          <w:rFonts w:ascii="Calibri" w:eastAsia="Malgun Gothic" w:hAnsi="Calibri" w:cs="Batang"/>
          <w:lang w:val="en-GB" w:eastAsia="ko-KR"/>
        </w:rPr>
        <w:t xml:space="preserve">also </w:t>
      </w:r>
      <w:r w:rsidR="002654F5">
        <w:rPr>
          <w:rFonts w:ascii="Calibri" w:eastAsia="Malgun Gothic" w:hAnsi="Calibri" w:cs="Batang"/>
          <w:lang w:val="en-GB" w:eastAsia="ko-KR"/>
        </w:rPr>
        <w:t>influence</w:t>
      </w:r>
      <w:r>
        <w:rPr>
          <w:rFonts w:ascii="Calibri" w:eastAsia="Malgun Gothic" w:hAnsi="Calibri" w:cs="Batang"/>
          <w:lang w:val="en-GB" w:eastAsia="ko-KR"/>
        </w:rPr>
        <w:t xml:space="preserve"> the IAB nodes to make correct local selection decisions in case of link failure or other FFS cases. In case of Option 1a, the additional identifier </w:t>
      </w:r>
      <w:r w:rsidR="002654F5">
        <w:rPr>
          <w:rFonts w:ascii="Calibri" w:eastAsia="Malgun Gothic" w:hAnsi="Calibri" w:cs="Batang"/>
          <w:lang w:val="en-GB" w:eastAsia="ko-KR"/>
        </w:rPr>
        <w:t xml:space="preserve">is not sufficient to guide the IAB node to make a good local selection. Option 1b is actually an invalid route selection candidate because it takes away control from the donor node and gives it fully to the IAB node since the cost is managed by the IAB node. In this case, the donor node has no influence over route selection even in normal routing situations. </w:t>
      </w:r>
      <w:r>
        <w:rPr>
          <w:rFonts w:ascii="Calibri" w:eastAsia="Malgun Gothic" w:hAnsi="Calibri" w:cs="Batang"/>
          <w:lang w:val="en-GB" w:eastAsia="ko-KR"/>
        </w:rPr>
        <w:t>In case of Option 2, the IAB node has no additional information available to make the correct local selection.</w:t>
      </w:r>
    </w:p>
    <w:p w:rsidR="002654F5" w:rsidRPr="002654F5" w:rsidRDefault="002654F5" w:rsidP="0055514B">
      <w:pPr>
        <w:rPr>
          <w:rFonts w:ascii="Calibri" w:eastAsia="Malgun Gothic" w:hAnsi="Calibri" w:cs="Batang"/>
          <w:b/>
          <w:lang w:val="en-GB" w:eastAsia="ko-KR"/>
        </w:rPr>
      </w:pPr>
      <w:r w:rsidRPr="002654F5">
        <w:rPr>
          <w:rFonts w:ascii="Calibri" w:eastAsia="Malgun Gothic" w:hAnsi="Calibri" w:cs="Batang"/>
          <w:b/>
          <w:lang w:val="en-GB" w:eastAsia="ko-KR"/>
        </w:rPr>
        <w:t xml:space="preserve">Observation 2: None of the </w:t>
      </w:r>
      <w:r w:rsidR="00503795">
        <w:rPr>
          <w:rFonts w:ascii="Calibri" w:eastAsia="Malgun Gothic" w:hAnsi="Calibri" w:cs="Batang"/>
          <w:b/>
          <w:lang w:val="en-GB" w:eastAsia="ko-KR"/>
        </w:rPr>
        <w:t>route selection</w:t>
      </w:r>
      <w:r w:rsidRPr="002654F5">
        <w:rPr>
          <w:rFonts w:ascii="Calibri" w:eastAsia="Malgun Gothic" w:hAnsi="Calibri" w:cs="Batang"/>
          <w:b/>
          <w:lang w:val="en-GB" w:eastAsia="ko-KR"/>
        </w:rPr>
        <w:t xml:space="preserve"> candidates that </w:t>
      </w:r>
      <w:r w:rsidR="00414A23">
        <w:rPr>
          <w:rFonts w:ascii="Calibri" w:eastAsia="Malgun Gothic" w:hAnsi="Calibri" w:cs="Batang"/>
          <w:b/>
          <w:lang w:val="en-GB" w:eastAsia="ko-KR"/>
        </w:rPr>
        <w:t>have been</w:t>
      </w:r>
      <w:r w:rsidRPr="002654F5">
        <w:rPr>
          <w:rFonts w:ascii="Calibri" w:eastAsia="Malgun Gothic" w:hAnsi="Calibri" w:cs="Batang"/>
          <w:b/>
          <w:lang w:val="en-GB" w:eastAsia="ko-KR"/>
        </w:rPr>
        <w:t xml:space="preserve"> discussed by RAN2 allow the donor node to control routing</w:t>
      </w:r>
      <w:r w:rsidR="00414A23">
        <w:rPr>
          <w:rFonts w:ascii="Calibri" w:eastAsia="Malgun Gothic" w:hAnsi="Calibri" w:cs="Batang"/>
          <w:b/>
          <w:lang w:val="en-GB" w:eastAsia="ko-KR"/>
        </w:rPr>
        <w:t>,</w:t>
      </w:r>
      <w:r w:rsidRPr="002654F5">
        <w:rPr>
          <w:rFonts w:ascii="Calibri" w:eastAsia="Malgun Gothic" w:hAnsi="Calibri" w:cs="Batang"/>
          <w:b/>
          <w:lang w:val="en-GB" w:eastAsia="ko-KR"/>
        </w:rPr>
        <w:t xml:space="preserve"> </w:t>
      </w:r>
      <w:r>
        <w:rPr>
          <w:rFonts w:ascii="Calibri" w:eastAsia="Malgun Gothic" w:hAnsi="Calibri" w:cs="Batang"/>
          <w:b/>
          <w:lang w:val="en-GB" w:eastAsia="ko-KR"/>
        </w:rPr>
        <w:t xml:space="preserve">and </w:t>
      </w:r>
      <w:r w:rsidR="00430E89">
        <w:rPr>
          <w:rFonts w:ascii="Calibri" w:eastAsia="Malgun Gothic" w:hAnsi="Calibri" w:cs="Batang"/>
          <w:b/>
          <w:lang w:val="en-GB" w:eastAsia="ko-KR"/>
        </w:rPr>
        <w:t xml:space="preserve">also </w:t>
      </w:r>
      <w:r>
        <w:rPr>
          <w:rFonts w:ascii="Calibri" w:eastAsia="Malgun Gothic" w:hAnsi="Calibri" w:cs="Batang"/>
          <w:b/>
          <w:lang w:val="en-GB" w:eastAsia="ko-KR"/>
        </w:rPr>
        <w:t>influence</w:t>
      </w:r>
      <w:r w:rsidRPr="002654F5">
        <w:rPr>
          <w:rFonts w:ascii="Calibri" w:eastAsia="Malgun Gothic" w:hAnsi="Calibri" w:cs="Batang"/>
          <w:b/>
          <w:lang w:val="en-GB" w:eastAsia="ko-KR"/>
        </w:rPr>
        <w:t xml:space="preserve"> the IAB nodes to make correct local selection decisions in case of link failure or other FFS cases.</w:t>
      </w:r>
    </w:p>
    <w:p w:rsidR="00092B6E" w:rsidRDefault="002654F5" w:rsidP="0055514B">
      <w:pPr>
        <w:rPr>
          <w:rFonts w:ascii="Calibri" w:eastAsia="Malgun Gothic" w:hAnsi="Calibri" w:cs="Batang"/>
          <w:lang w:val="en-GB" w:eastAsia="ko-KR"/>
        </w:rPr>
      </w:pPr>
      <w:r>
        <w:rPr>
          <w:rFonts w:ascii="Calibri" w:eastAsia="Malgun Gothic" w:hAnsi="Calibri" w:cs="Batang"/>
          <w:lang w:val="en-GB" w:eastAsia="ko-KR"/>
        </w:rPr>
        <w:t xml:space="preserve">A simple change </w:t>
      </w:r>
      <w:r w:rsidR="00430E89">
        <w:rPr>
          <w:rFonts w:ascii="Calibri" w:eastAsia="Malgun Gothic" w:hAnsi="Calibri" w:cs="Batang"/>
          <w:lang w:val="en-GB" w:eastAsia="ko-KR"/>
        </w:rPr>
        <w:t xml:space="preserve">to these route selection candidates </w:t>
      </w:r>
      <w:r>
        <w:rPr>
          <w:rFonts w:ascii="Calibri" w:eastAsia="Malgun Gothic" w:hAnsi="Calibri" w:cs="Batang"/>
          <w:lang w:val="en-GB" w:eastAsia="ko-KR"/>
        </w:rPr>
        <w:t>can allow the donor node to remain in full control of routing across the IAB network</w:t>
      </w:r>
      <w:r w:rsidR="00414A23">
        <w:rPr>
          <w:rFonts w:ascii="Calibri" w:eastAsia="Malgun Gothic" w:hAnsi="Calibri" w:cs="Batang"/>
          <w:lang w:val="en-GB" w:eastAsia="ko-KR"/>
        </w:rPr>
        <w:t>,</w:t>
      </w:r>
      <w:r>
        <w:rPr>
          <w:rFonts w:ascii="Calibri" w:eastAsia="Malgun Gothic" w:hAnsi="Calibri" w:cs="Batang"/>
          <w:lang w:val="en-GB" w:eastAsia="ko-KR"/>
        </w:rPr>
        <w:t xml:space="preserve"> and </w:t>
      </w:r>
      <w:r w:rsidR="00766677">
        <w:rPr>
          <w:rFonts w:ascii="Calibri" w:eastAsia="Malgun Gothic" w:hAnsi="Calibri" w:cs="Batang"/>
          <w:lang w:val="en-GB" w:eastAsia="ko-KR"/>
        </w:rPr>
        <w:t xml:space="preserve">also </w:t>
      </w:r>
      <w:r>
        <w:rPr>
          <w:rFonts w:ascii="Calibri" w:eastAsia="Malgun Gothic" w:hAnsi="Calibri" w:cs="Batang"/>
          <w:lang w:val="en-GB" w:eastAsia="ko-KR"/>
        </w:rPr>
        <w:t xml:space="preserve">influence the IAB nodes to make correct local selection decisions. It is proposed that in addition to the routing identifier (destination ID or path ID), the donor node should populate the routing table at the IAB node with a cost metric or weight for each path. Such a cost metric </w:t>
      </w:r>
      <w:r w:rsidR="000F61FB">
        <w:rPr>
          <w:rFonts w:ascii="Calibri" w:eastAsia="Malgun Gothic" w:hAnsi="Calibri" w:cs="Batang"/>
          <w:lang w:val="en-GB" w:eastAsia="ko-KR"/>
        </w:rPr>
        <w:t xml:space="preserve">per path </w:t>
      </w:r>
      <w:r>
        <w:rPr>
          <w:rFonts w:ascii="Calibri" w:eastAsia="Malgun Gothic" w:hAnsi="Calibri" w:cs="Batang"/>
          <w:lang w:val="en-GB" w:eastAsia="ko-KR"/>
        </w:rPr>
        <w:t xml:space="preserve">may be provided </w:t>
      </w:r>
      <w:r w:rsidR="000F61FB">
        <w:rPr>
          <w:rFonts w:ascii="Calibri" w:eastAsia="Malgun Gothic" w:hAnsi="Calibri" w:cs="Batang"/>
          <w:lang w:val="en-GB" w:eastAsia="ko-KR"/>
        </w:rPr>
        <w:t>by the donor CU during a route update procedure. The donor CU is in the best position to compare one path versus another since it is aware of link and congestion conditions further upstream and downstream from each IAB node. So, it is better</w:t>
      </w:r>
      <w:r w:rsidR="00E110BA">
        <w:rPr>
          <w:rFonts w:ascii="Calibri" w:eastAsia="Malgun Gothic" w:hAnsi="Calibri" w:cs="Batang"/>
          <w:lang w:val="en-GB" w:eastAsia="ko-KR"/>
        </w:rPr>
        <w:t xml:space="preserve"> able </w:t>
      </w:r>
      <w:r w:rsidR="000F61FB">
        <w:rPr>
          <w:rFonts w:ascii="Calibri" w:eastAsia="Malgun Gothic" w:hAnsi="Calibri" w:cs="Batang"/>
          <w:lang w:val="en-GB" w:eastAsia="ko-KR"/>
        </w:rPr>
        <w:t xml:space="preserve">to influence the IAB node in making the local selection decision.  </w:t>
      </w:r>
    </w:p>
    <w:p w:rsidR="002654F5" w:rsidRDefault="002654F5" w:rsidP="0055514B">
      <w:pPr>
        <w:rPr>
          <w:rFonts w:ascii="Calibri" w:eastAsia="Malgun Gothic" w:hAnsi="Calibri" w:cs="Batang"/>
          <w:lang w:val="en-GB" w:eastAsia="ko-KR"/>
        </w:rPr>
      </w:pPr>
      <w:r>
        <w:rPr>
          <w:rFonts w:ascii="Calibri" w:eastAsia="Malgun Gothic" w:hAnsi="Calibri" w:cs="Batang"/>
          <w:lang w:val="en-GB" w:eastAsia="ko-KR"/>
        </w:rPr>
        <w:t xml:space="preserve">In the case of destination ID based routing, </w:t>
      </w:r>
      <w:r w:rsidR="00092B6E">
        <w:rPr>
          <w:rFonts w:ascii="Calibri" w:eastAsia="Malgun Gothic" w:hAnsi="Calibri" w:cs="Batang"/>
          <w:lang w:val="en-GB" w:eastAsia="ko-KR"/>
        </w:rPr>
        <w:t>an example</w:t>
      </w:r>
      <w:r>
        <w:rPr>
          <w:rFonts w:ascii="Calibri" w:eastAsia="Malgun Gothic" w:hAnsi="Calibri" w:cs="Batang"/>
          <w:lang w:val="en-GB" w:eastAsia="ko-KR"/>
        </w:rPr>
        <w:t xml:space="preserve"> routing table at an IAB node could </w:t>
      </w:r>
      <w:r w:rsidR="00092B6E">
        <w:rPr>
          <w:rFonts w:ascii="Calibri" w:eastAsia="Malgun Gothic" w:hAnsi="Calibri" w:cs="Batang"/>
          <w:lang w:val="en-GB" w:eastAsia="ko-KR"/>
        </w:rPr>
        <w:t>look like Table 1 below</w:t>
      </w:r>
      <w:r w:rsidR="00777819">
        <w:rPr>
          <w:rFonts w:ascii="Calibri" w:eastAsia="Malgun Gothic" w:hAnsi="Calibri" w:cs="Batang"/>
          <w:lang w:val="en-GB" w:eastAsia="ko-KR"/>
        </w:rPr>
        <w:t xml:space="preserve">. </w:t>
      </w:r>
    </w:p>
    <w:p w:rsidR="002654F5" w:rsidRDefault="002654F5" w:rsidP="002654F5">
      <w:pPr>
        <w:jc w:val="center"/>
        <w:rPr>
          <w:rFonts w:ascii="Calibri" w:eastAsia="Malgun Gothic" w:hAnsi="Calibri" w:cs="Batang"/>
          <w:lang w:val="en-GB" w:eastAsia="ko-KR"/>
        </w:rPr>
      </w:pPr>
      <w:r>
        <w:rPr>
          <w:rFonts w:ascii="Calibri" w:eastAsia="Malgun Gothic" w:hAnsi="Calibri" w:cs="Batang"/>
          <w:lang w:val="en-GB" w:eastAsia="ko-KR"/>
        </w:rPr>
        <w:t>Table 1. Destination ID Based Routing Table with Cost Metric from Donor</w:t>
      </w:r>
    </w:p>
    <w:tbl>
      <w:tblPr>
        <w:tblStyle w:val="TableGrid"/>
        <w:tblW w:w="0" w:type="auto"/>
        <w:jc w:val="center"/>
        <w:tblLook w:val="04A0" w:firstRow="1" w:lastRow="0" w:firstColumn="1" w:lastColumn="0" w:noHBand="0" w:noVBand="1"/>
      </w:tblPr>
      <w:tblGrid>
        <w:gridCol w:w="1875"/>
        <w:gridCol w:w="1198"/>
        <w:gridCol w:w="1157"/>
      </w:tblGrid>
      <w:tr w:rsidR="002654F5" w:rsidTr="002654F5">
        <w:trPr>
          <w:jc w:val="center"/>
        </w:trPr>
        <w:tc>
          <w:tcPr>
            <w:tcW w:w="0" w:type="auto"/>
          </w:tcPr>
          <w:p w:rsidR="002654F5" w:rsidRDefault="00092B6E" w:rsidP="002654F5">
            <w:pPr>
              <w:jc w:val="center"/>
              <w:rPr>
                <w:rFonts w:ascii="Calibri" w:eastAsia="Malgun Gothic" w:hAnsi="Calibri" w:cs="Batang"/>
                <w:lang w:val="en-GB" w:eastAsia="ko-KR"/>
              </w:rPr>
            </w:pPr>
            <w:r>
              <w:rPr>
                <w:rFonts w:ascii="Calibri" w:eastAsia="Malgun Gothic" w:hAnsi="Calibri" w:cs="Batang"/>
                <w:lang w:val="en-GB" w:eastAsia="ko-KR"/>
              </w:rPr>
              <w:t>Destination ID</w:t>
            </w:r>
          </w:p>
        </w:tc>
        <w:tc>
          <w:tcPr>
            <w:tcW w:w="0" w:type="auto"/>
          </w:tcPr>
          <w:p w:rsidR="002654F5" w:rsidRDefault="00092B6E" w:rsidP="002654F5">
            <w:pPr>
              <w:jc w:val="center"/>
              <w:rPr>
                <w:rFonts w:ascii="Calibri" w:eastAsia="Malgun Gothic" w:hAnsi="Calibri" w:cs="Batang"/>
                <w:lang w:val="en-GB" w:eastAsia="ko-KR"/>
              </w:rPr>
            </w:pPr>
            <w:r>
              <w:rPr>
                <w:rFonts w:ascii="Calibri" w:eastAsia="Malgun Gothic" w:hAnsi="Calibri" w:cs="Batang"/>
                <w:lang w:val="en-GB" w:eastAsia="ko-KR"/>
              </w:rPr>
              <w:t>Next Hop ID</w:t>
            </w:r>
          </w:p>
        </w:tc>
        <w:tc>
          <w:tcPr>
            <w:tcW w:w="0" w:type="auto"/>
          </w:tcPr>
          <w:p w:rsidR="002654F5" w:rsidRDefault="00092B6E" w:rsidP="002654F5">
            <w:pPr>
              <w:jc w:val="center"/>
              <w:rPr>
                <w:rFonts w:ascii="Calibri" w:eastAsia="Malgun Gothic" w:hAnsi="Calibri" w:cs="Batang"/>
                <w:lang w:val="en-GB" w:eastAsia="ko-KR"/>
              </w:rPr>
            </w:pPr>
            <w:r>
              <w:rPr>
                <w:rFonts w:ascii="Calibri" w:eastAsia="Malgun Gothic" w:hAnsi="Calibri" w:cs="Batang"/>
                <w:lang w:val="en-GB" w:eastAsia="ko-KR"/>
              </w:rPr>
              <w:t>Cost Metric</w:t>
            </w:r>
          </w:p>
        </w:tc>
      </w:tr>
      <w:tr w:rsidR="002654F5" w:rsidTr="002654F5">
        <w:trPr>
          <w:jc w:val="center"/>
        </w:trPr>
        <w:tc>
          <w:tcPr>
            <w:tcW w:w="0" w:type="auto"/>
          </w:tcPr>
          <w:p w:rsidR="00092B6E" w:rsidRDefault="00092B6E" w:rsidP="00092B6E">
            <w:pPr>
              <w:jc w:val="center"/>
              <w:rPr>
                <w:rFonts w:ascii="Calibri" w:eastAsia="Malgun Gothic" w:hAnsi="Calibri" w:cs="Batang"/>
                <w:lang w:val="en-GB" w:eastAsia="ko-KR"/>
              </w:rPr>
            </w:pPr>
            <w:r>
              <w:rPr>
                <w:rFonts w:ascii="Calibri" w:eastAsia="Malgun Gothic" w:hAnsi="Calibri" w:cs="Batang"/>
                <w:lang w:val="en-GB" w:eastAsia="ko-KR"/>
              </w:rPr>
              <w:t>IAB node address #1</w:t>
            </w:r>
          </w:p>
        </w:tc>
        <w:tc>
          <w:tcPr>
            <w:tcW w:w="0" w:type="auto"/>
          </w:tcPr>
          <w:p w:rsidR="002654F5" w:rsidRDefault="00092B6E" w:rsidP="002654F5">
            <w:pPr>
              <w:jc w:val="center"/>
              <w:rPr>
                <w:rFonts w:ascii="Calibri" w:eastAsia="Malgun Gothic" w:hAnsi="Calibri" w:cs="Batang"/>
                <w:lang w:val="en-GB" w:eastAsia="ko-KR"/>
              </w:rPr>
            </w:pPr>
            <w:r>
              <w:rPr>
                <w:rFonts w:ascii="Calibri" w:eastAsia="Malgun Gothic" w:hAnsi="Calibri" w:cs="Batang"/>
                <w:lang w:val="en-GB" w:eastAsia="ko-KR"/>
              </w:rPr>
              <w:t>Link A</w:t>
            </w:r>
          </w:p>
        </w:tc>
        <w:tc>
          <w:tcPr>
            <w:tcW w:w="0" w:type="auto"/>
          </w:tcPr>
          <w:p w:rsidR="002654F5" w:rsidRDefault="00092B6E" w:rsidP="002654F5">
            <w:pPr>
              <w:jc w:val="center"/>
              <w:rPr>
                <w:rFonts w:ascii="Calibri" w:eastAsia="Malgun Gothic" w:hAnsi="Calibri" w:cs="Batang"/>
                <w:lang w:val="en-GB" w:eastAsia="ko-KR"/>
              </w:rPr>
            </w:pPr>
            <w:proofErr w:type="spellStart"/>
            <w:r>
              <w:rPr>
                <w:rFonts w:ascii="Calibri" w:eastAsia="Malgun Gothic" w:hAnsi="Calibri" w:cs="Batang"/>
                <w:lang w:val="en-GB" w:eastAsia="ko-KR"/>
              </w:rPr>
              <w:t>x.y</w:t>
            </w:r>
            <w:proofErr w:type="spellEnd"/>
          </w:p>
        </w:tc>
      </w:tr>
      <w:tr w:rsidR="002654F5" w:rsidTr="002654F5">
        <w:trPr>
          <w:jc w:val="center"/>
        </w:trPr>
        <w:tc>
          <w:tcPr>
            <w:tcW w:w="0" w:type="auto"/>
          </w:tcPr>
          <w:p w:rsidR="002654F5" w:rsidRDefault="00092B6E" w:rsidP="002654F5">
            <w:pPr>
              <w:jc w:val="center"/>
              <w:rPr>
                <w:rFonts w:ascii="Calibri" w:eastAsia="Malgun Gothic" w:hAnsi="Calibri" w:cs="Batang"/>
                <w:lang w:val="en-GB" w:eastAsia="ko-KR"/>
              </w:rPr>
            </w:pPr>
            <w:r>
              <w:rPr>
                <w:rFonts w:ascii="Calibri" w:eastAsia="Malgun Gothic" w:hAnsi="Calibri" w:cs="Batang"/>
                <w:lang w:val="en-GB" w:eastAsia="ko-KR"/>
              </w:rPr>
              <w:t>IAB node address #1</w:t>
            </w:r>
          </w:p>
        </w:tc>
        <w:tc>
          <w:tcPr>
            <w:tcW w:w="0" w:type="auto"/>
          </w:tcPr>
          <w:p w:rsidR="002654F5" w:rsidRDefault="00092B6E" w:rsidP="002654F5">
            <w:pPr>
              <w:jc w:val="center"/>
              <w:rPr>
                <w:rFonts w:ascii="Calibri" w:eastAsia="Malgun Gothic" w:hAnsi="Calibri" w:cs="Batang"/>
                <w:lang w:val="en-GB" w:eastAsia="ko-KR"/>
              </w:rPr>
            </w:pPr>
            <w:r>
              <w:rPr>
                <w:rFonts w:ascii="Calibri" w:eastAsia="Malgun Gothic" w:hAnsi="Calibri" w:cs="Batang"/>
                <w:lang w:val="en-GB" w:eastAsia="ko-KR"/>
              </w:rPr>
              <w:t>Link B</w:t>
            </w:r>
          </w:p>
        </w:tc>
        <w:tc>
          <w:tcPr>
            <w:tcW w:w="0" w:type="auto"/>
          </w:tcPr>
          <w:p w:rsidR="002654F5" w:rsidRDefault="00092B6E" w:rsidP="002654F5">
            <w:pPr>
              <w:jc w:val="center"/>
              <w:rPr>
                <w:rFonts w:ascii="Calibri" w:eastAsia="Malgun Gothic" w:hAnsi="Calibri" w:cs="Batang"/>
                <w:lang w:val="en-GB" w:eastAsia="ko-KR"/>
              </w:rPr>
            </w:pPr>
            <w:proofErr w:type="spellStart"/>
            <w:r>
              <w:rPr>
                <w:rFonts w:ascii="Calibri" w:eastAsia="Malgun Gothic" w:hAnsi="Calibri" w:cs="Batang"/>
                <w:lang w:val="en-GB" w:eastAsia="ko-KR"/>
              </w:rPr>
              <w:t>m.n</w:t>
            </w:r>
            <w:proofErr w:type="spellEnd"/>
          </w:p>
        </w:tc>
      </w:tr>
      <w:tr w:rsidR="00D11CE2" w:rsidTr="002654F5">
        <w:trPr>
          <w:jc w:val="center"/>
        </w:trPr>
        <w:tc>
          <w:tcPr>
            <w:tcW w:w="0" w:type="auto"/>
          </w:tcPr>
          <w:p w:rsidR="00D11CE2" w:rsidRDefault="00D11CE2" w:rsidP="002654F5">
            <w:pPr>
              <w:jc w:val="center"/>
              <w:rPr>
                <w:rFonts w:ascii="Calibri" w:eastAsia="Malgun Gothic" w:hAnsi="Calibri" w:cs="Batang"/>
                <w:lang w:val="en-GB" w:eastAsia="ko-KR"/>
              </w:rPr>
            </w:pPr>
            <w:r>
              <w:rPr>
                <w:rFonts w:ascii="Calibri" w:eastAsia="Malgun Gothic" w:hAnsi="Calibri" w:cs="Batang"/>
                <w:lang w:val="en-GB" w:eastAsia="ko-KR"/>
              </w:rPr>
              <w:t>IAB node address #1</w:t>
            </w:r>
          </w:p>
        </w:tc>
        <w:tc>
          <w:tcPr>
            <w:tcW w:w="0" w:type="auto"/>
          </w:tcPr>
          <w:p w:rsidR="00D11CE2" w:rsidRDefault="00D11CE2" w:rsidP="002654F5">
            <w:pPr>
              <w:jc w:val="center"/>
              <w:rPr>
                <w:rFonts w:ascii="Calibri" w:eastAsia="Malgun Gothic" w:hAnsi="Calibri" w:cs="Batang"/>
                <w:lang w:val="en-GB" w:eastAsia="ko-KR"/>
              </w:rPr>
            </w:pPr>
            <w:r>
              <w:rPr>
                <w:rFonts w:ascii="Calibri" w:eastAsia="Malgun Gothic" w:hAnsi="Calibri" w:cs="Batang"/>
                <w:lang w:val="en-GB" w:eastAsia="ko-KR"/>
              </w:rPr>
              <w:t>Link C</w:t>
            </w:r>
          </w:p>
        </w:tc>
        <w:tc>
          <w:tcPr>
            <w:tcW w:w="0" w:type="auto"/>
          </w:tcPr>
          <w:p w:rsidR="00D11CE2" w:rsidRDefault="00D11CE2" w:rsidP="002654F5">
            <w:pPr>
              <w:jc w:val="center"/>
              <w:rPr>
                <w:rFonts w:ascii="Calibri" w:eastAsia="Malgun Gothic" w:hAnsi="Calibri" w:cs="Batang"/>
                <w:lang w:val="en-GB" w:eastAsia="ko-KR"/>
              </w:rPr>
            </w:pPr>
            <w:proofErr w:type="spellStart"/>
            <w:r>
              <w:rPr>
                <w:rFonts w:ascii="Calibri" w:eastAsia="Malgun Gothic" w:hAnsi="Calibri" w:cs="Batang"/>
                <w:lang w:val="en-GB" w:eastAsia="ko-KR"/>
              </w:rPr>
              <w:t>p.q</w:t>
            </w:r>
            <w:proofErr w:type="spellEnd"/>
          </w:p>
        </w:tc>
      </w:tr>
      <w:tr w:rsidR="00D11CE2" w:rsidTr="003D71F8">
        <w:trPr>
          <w:jc w:val="center"/>
        </w:trPr>
        <w:tc>
          <w:tcPr>
            <w:tcW w:w="0" w:type="auto"/>
          </w:tcPr>
          <w:p w:rsidR="00D11CE2" w:rsidRDefault="00D11CE2" w:rsidP="003D71F8">
            <w:pPr>
              <w:jc w:val="center"/>
              <w:rPr>
                <w:rFonts w:ascii="Calibri" w:eastAsia="Malgun Gothic" w:hAnsi="Calibri" w:cs="Batang"/>
                <w:lang w:val="en-GB" w:eastAsia="ko-KR"/>
              </w:rPr>
            </w:pPr>
            <w:r>
              <w:rPr>
                <w:rFonts w:ascii="Calibri" w:eastAsia="Malgun Gothic" w:hAnsi="Calibri" w:cs="Batang"/>
                <w:lang w:val="en-GB" w:eastAsia="ko-KR"/>
              </w:rPr>
              <w:t>IAB node address #2</w:t>
            </w:r>
          </w:p>
        </w:tc>
        <w:tc>
          <w:tcPr>
            <w:tcW w:w="0" w:type="auto"/>
          </w:tcPr>
          <w:p w:rsidR="00D11CE2" w:rsidRDefault="00D11CE2" w:rsidP="003D71F8">
            <w:pPr>
              <w:jc w:val="center"/>
              <w:rPr>
                <w:rFonts w:ascii="Calibri" w:eastAsia="Malgun Gothic" w:hAnsi="Calibri" w:cs="Batang"/>
                <w:lang w:val="en-GB" w:eastAsia="ko-KR"/>
              </w:rPr>
            </w:pPr>
            <w:r>
              <w:rPr>
                <w:rFonts w:ascii="Calibri" w:eastAsia="Malgun Gothic" w:hAnsi="Calibri" w:cs="Batang"/>
                <w:lang w:val="en-GB" w:eastAsia="ko-KR"/>
              </w:rPr>
              <w:t>Link D</w:t>
            </w:r>
          </w:p>
        </w:tc>
        <w:tc>
          <w:tcPr>
            <w:tcW w:w="0" w:type="auto"/>
          </w:tcPr>
          <w:p w:rsidR="00D11CE2" w:rsidRDefault="00D11CE2" w:rsidP="003D71F8">
            <w:pPr>
              <w:jc w:val="center"/>
              <w:rPr>
                <w:rFonts w:ascii="Calibri" w:eastAsia="Malgun Gothic" w:hAnsi="Calibri" w:cs="Batang"/>
                <w:lang w:val="en-GB" w:eastAsia="ko-KR"/>
              </w:rPr>
            </w:pPr>
            <w:proofErr w:type="spellStart"/>
            <w:r>
              <w:rPr>
                <w:rFonts w:ascii="Calibri" w:eastAsia="Malgun Gothic" w:hAnsi="Calibri" w:cs="Batang"/>
                <w:lang w:val="en-GB" w:eastAsia="ko-KR"/>
              </w:rPr>
              <w:t>u.v</w:t>
            </w:r>
            <w:proofErr w:type="spellEnd"/>
          </w:p>
        </w:tc>
      </w:tr>
    </w:tbl>
    <w:p w:rsidR="002654F5" w:rsidRDefault="002654F5" w:rsidP="002654F5">
      <w:pPr>
        <w:jc w:val="center"/>
        <w:rPr>
          <w:rFonts w:ascii="Calibri" w:eastAsia="Malgun Gothic" w:hAnsi="Calibri" w:cs="Batang"/>
          <w:lang w:val="en-GB" w:eastAsia="ko-KR"/>
        </w:rPr>
      </w:pPr>
    </w:p>
    <w:p w:rsidR="00ED7292" w:rsidRDefault="00092B6E" w:rsidP="00ED7292">
      <w:pPr>
        <w:rPr>
          <w:rFonts w:ascii="Calibri" w:eastAsia="Malgun Gothic" w:hAnsi="Calibri" w:cs="Batang"/>
          <w:lang w:val="en-GB" w:eastAsia="ko-KR"/>
        </w:rPr>
      </w:pPr>
      <w:r>
        <w:rPr>
          <w:rFonts w:ascii="Calibri" w:eastAsia="Malgun Gothic" w:hAnsi="Calibri" w:cs="Batang"/>
          <w:lang w:val="en-GB" w:eastAsia="ko-KR"/>
        </w:rPr>
        <w:t xml:space="preserve">In the case of path ID based routing, an example routing table at an IAB node could look like Table </w:t>
      </w:r>
      <w:r w:rsidR="00177401">
        <w:rPr>
          <w:rFonts w:ascii="Calibri" w:eastAsia="Malgun Gothic" w:hAnsi="Calibri" w:cs="Batang"/>
          <w:lang w:val="en-GB" w:eastAsia="ko-KR"/>
        </w:rPr>
        <w:t>2</w:t>
      </w:r>
      <w:r>
        <w:rPr>
          <w:rFonts w:ascii="Calibri" w:eastAsia="Malgun Gothic" w:hAnsi="Calibri" w:cs="Batang"/>
          <w:lang w:val="en-GB" w:eastAsia="ko-KR"/>
        </w:rPr>
        <w:t xml:space="preserve"> below</w:t>
      </w:r>
      <w:r w:rsidR="00177401">
        <w:rPr>
          <w:rFonts w:ascii="Calibri" w:eastAsia="Malgun Gothic" w:hAnsi="Calibri" w:cs="Batang"/>
          <w:lang w:val="en-GB" w:eastAsia="ko-KR"/>
        </w:rPr>
        <w:t xml:space="preserve">. Note that in case of path ID based routing, the routing tables need to be enhanced to indicate which paths lead to a common destination node. </w:t>
      </w:r>
      <w:r w:rsidR="00ED7292">
        <w:rPr>
          <w:rFonts w:ascii="Calibri" w:eastAsia="Malgun Gothic" w:hAnsi="Calibri" w:cs="Batang"/>
          <w:lang w:val="en-GB" w:eastAsia="ko-KR"/>
        </w:rPr>
        <w:t xml:space="preserve">In the above examples, when there is a link failure on Link A, the IAB node is able to compare the metrics corresponding to Link B and Link C to determine which path to select. </w:t>
      </w:r>
    </w:p>
    <w:p w:rsidR="00092B6E" w:rsidRDefault="00092B6E" w:rsidP="00092B6E">
      <w:pPr>
        <w:rPr>
          <w:rFonts w:ascii="Calibri" w:eastAsia="Malgun Gothic" w:hAnsi="Calibri" w:cs="Batang"/>
          <w:lang w:val="en-GB" w:eastAsia="ko-KR"/>
        </w:rPr>
      </w:pPr>
    </w:p>
    <w:p w:rsidR="007321F2" w:rsidRDefault="007321F2" w:rsidP="00092B6E">
      <w:pPr>
        <w:rPr>
          <w:rFonts w:ascii="Calibri" w:eastAsia="Malgun Gothic" w:hAnsi="Calibri" w:cs="Batang"/>
          <w:lang w:val="en-GB" w:eastAsia="ko-KR"/>
        </w:rPr>
      </w:pPr>
    </w:p>
    <w:p w:rsidR="007321F2" w:rsidRDefault="007321F2" w:rsidP="00092B6E">
      <w:pPr>
        <w:rPr>
          <w:rFonts w:ascii="Calibri" w:eastAsia="Malgun Gothic" w:hAnsi="Calibri" w:cs="Batang"/>
          <w:lang w:val="en-GB" w:eastAsia="ko-KR"/>
        </w:rPr>
      </w:pPr>
    </w:p>
    <w:p w:rsidR="007321F2" w:rsidRDefault="007321F2" w:rsidP="00092B6E">
      <w:pPr>
        <w:rPr>
          <w:rFonts w:ascii="Calibri" w:eastAsia="Malgun Gothic" w:hAnsi="Calibri" w:cs="Batang"/>
          <w:lang w:val="en-GB" w:eastAsia="ko-KR"/>
        </w:rPr>
      </w:pPr>
    </w:p>
    <w:p w:rsidR="007321F2" w:rsidRDefault="007321F2" w:rsidP="00092B6E">
      <w:pPr>
        <w:rPr>
          <w:rFonts w:ascii="Calibri" w:eastAsia="Malgun Gothic" w:hAnsi="Calibri" w:cs="Batang"/>
          <w:lang w:val="en-GB" w:eastAsia="ko-KR"/>
        </w:rPr>
      </w:pPr>
    </w:p>
    <w:p w:rsidR="00092B6E" w:rsidRDefault="00092B6E" w:rsidP="00092B6E">
      <w:pPr>
        <w:jc w:val="center"/>
        <w:rPr>
          <w:rFonts w:ascii="Calibri" w:eastAsia="Malgun Gothic" w:hAnsi="Calibri" w:cs="Batang"/>
          <w:lang w:val="en-GB" w:eastAsia="ko-KR"/>
        </w:rPr>
      </w:pPr>
      <w:r>
        <w:rPr>
          <w:rFonts w:ascii="Calibri" w:eastAsia="Malgun Gothic" w:hAnsi="Calibri" w:cs="Batang"/>
          <w:lang w:val="en-GB" w:eastAsia="ko-KR"/>
        </w:rPr>
        <w:lastRenderedPageBreak/>
        <w:t xml:space="preserve">Table </w:t>
      </w:r>
      <w:r w:rsidR="00177401">
        <w:rPr>
          <w:rFonts w:ascii="Calibri" w:eastAsia="Malgun Gothic" w:hAnsi="Calibri" w:cs="Batang"/>
          <w:lang w:val="en-GB" w:eastAsia="ko-KR"/>
        </w:rPr>
        <w:t>2</w:t>
      </w:r>
      <w:r>
        <w:rPr>
          <w:rFonts w:ascii="Calibri" w:eastAsia="Malgun Gothic" w:hAnsi="Calibri" w:cs="Batang"/>
          <w:lang w:val="en-GB" w:eastAsia="ko-KR"/>
        </w:rPr>
        <w:t xml:space="preserve">. </w:t>
      </w:r>
      <w:r w:rsidR="00177401">
        <w:rPr>
          <w:rFonts w:ascii="Calibri" w:eastAsia="Malgun Gothic" w:hAnsi="Calibri" w:cs="Batang"/>
          <w:lang w:val="en-GB" w:eastAsia="ko-KR"/>
        </w:rPr>
        <w:t>Path</w:t>
      </w:r>
      <w:r>
        <w:rPr>
          <w:rFonts w:ascii="Calibri" w:eastAsia="Malgun Gothic" w:hAnsi="Calibri" w:cs="Batang"/>
          <w:lang w:val="en-GB" w:eastAsia="ko-KR"/>
        </w:rPr>
        <w:t xml:space="preserve"> ID Based Routing Table with Cost Metric from Donor</w:t>
      </w:r>
    </w:p>
    <w:tbl>
      <w:tblPr>
        <w:tblStyle w:val="TableGrid"/>
        <w:tblW w:w="0" w:type="auto"/>
        <w:jc w:val="center"/>
        <w:tblLook w:val="04A0" w:firstRow="1" w:lastRow="0" w:firstColumn="1" w:lastColumn="0" w:noHBand="0" w:noVBand="1"/>
      </w:tblPr>
      <w:tblGrid>
        <w:gridCol w:w="834"/>
        <w:gridCol w:w="1875"/>
        <w:gridCol w:w="1198"/>
        <w:gridCol w:w="1157"/>
      </w:tblGrid>
      <w:tr w:rsidR="00092B6E" w:rsidTr="00C97789">
        <w:trPr>
          <w:jc w:val="center"/>
        </w:trPr>
        <w:tc>
          <w:tcPr>
            <w:tcW w:w="0" w:type="auto"/>
          </w:tcPr>
          <w:p w:rsidR="00092B6E" w:rsidRDefault="00092B6E" w:rsidP="003D71F8">
            <w:pPr>
              <w:jc w:val="center"/>
              <w:rPr>
                <w:rFonts w:ascii="Calibri" w:eastAsia="Malgun Gothic" w:hAnsi="Calibri" w:cs="Batang"/>
                <w:lang w:val="en-GB" w:eastAsia="ko-KR"/>
              </w:rPr>
            </w:pPr>
            <w:r>
              <w:rPr>
                <w:rFonts w:ascii="Calibri" w:eastAsia="Malgun Gothic" w:hAnsi="Calibri" w:cs="Batang"/>
                <w:lang w:val="en-GB" w:eastAsia="ko-KR"/>
              </w:rPr>
              <w:t>Path ID</w:t>
            </w:r>
          </w:p>
        </w:tc>
        <w:tc>
          <w:tcPr>
            <w:tcW w:w="0" w:type="auto"/>
          </w:tcPr>
          <w:p w:rsidR="00092B6E" w:rsidRDefault="00092B6E" w:rsidP="003D71F8">
            <w:pPr>
              <w:jc w:val="center"/>
              <w:rPr>
                <w:rFonts w:ascii="Calibri" w:eastAsia="Malgun Gothic" w:hAnsi="Calibri" w:cs="Batang"/>
                <w:lang w:val="en-GB" w:eastAsia="ko-KR"/>
              </w:rPr>
            </w:pPr>
            <w:r>
              <w:rPr>
                <w:rFonts w:ascii="Calibri" w:eastAsia="Malgun Gothic" w:hAnsi="Calibri" w:cs="Batang"/>
                <w:lang w:val="en-GB" w:eastAsia="ko-KR"/>
              </w:rPr>
              <w:t>Destination</w:t>
            </w:r>
            <w:r w:rsidR="00177401">
              <w:rPr>
                <w:rFonts w:ascii="Calibri" w:eastAsia="Malgun Gothic" w:hAnsi="Calibri" w:cs="Batang"/>
                <w:lang w:val="en-GB" w:eastAsia="ko-KR"/>
              </w:rPr>
              <w:t xml:space="preserve"> ID</w:t>
            </w:r>
          </w:p>
        </w:tc>
        <w:tc>
          <w:tcPr>
            <w:tcW w:w="0" w:type="auto"/>
          </w:tcPr>
          <w:p w:rsidR="00092B6E" w:rsidRDefault="00092B6E" w:rsidP="003D71F8">
            <w:pPr>
              <w:jc w:val="center"/>
              <w:rPr>
                <w:rFonts w:ascii="Calibri" w:eastAsia="Malgun Gothic" w:hAnsi="Calibri" w:cs="Batang"/>
                <w:lang w:val="en-GB" w:eastAsia="ko-KR"/>
              </w:rPr>
            </w:pPr>
            <w:r>
              <w:rPr>
                <w:rFonts w:ascii="Calibri" w:eastAsia="Malgun Gothic" w:hAnsi="Calibri" w:cs="Batang"/>
                <w:lang w:val="en-GB" w:eastAsia="ko-KR"/>
              </w:rPr>
              <w:t>Next Hop ID</w:t>
            </w:r>
          </w:p>
        </w:tc>
        <w:tc>
          <w:tcPr>
            <w:tcW w:w="0" w:type="auto"/>
          </w:tcPr>
          <w:p w:rsidR="00092B6E" w:rsidRDefault="00092B6E" w:rsidP="003D71F8">
            <w:pPr>
              <w:jc w:val="center"/>
              <w:rPr>
                <w:rFonts w:ascii="Calibri" w:eastAsia="Malgun Gothic" w:hAnsi="Calibri" w:cs="Batang"/>
                <w:lang w:val="en-GB" w:eastAsia="ko-KR"/>
              </w:rPr>
            </w:pPr>
            <w:r>
              <w:rPr>
                <w:rFonts w:ascii="Calibri" w:eastAsia="Malgun Gothic" w:hAnsi="Calibri" w:cs="Batang"/>
                <w:lang w:val="en-GB" w:eastAsia="ko-KR"/>
              </w:rPr>
              <w:t>Cost Metric</w:t>
            </w:r>
          </w:p>
        </w:tc>
      </w:tr>
      <w:tr w:rsidR="00D11CE2" w:rsidTr="00C97789">
        <w:trPr>
          <w:jc w:val="center"/>
        </w:trPr>
        <w:tc>
          <w:tcPr>
            <w:tcW w:w="0" w:type="auto"/>
          </w:tcPr>
          <w:p w:rsidR="00D11CE2" w:rsidRDefault="00D11CE2" w:rsidP="00D11CE2">
            <w:pPr>
              <w:jc w:val="center"/>
              <w:rPr>
                <w:rFonts w:ascii="Calibri" w:eastAsia="Malgun Gothic" w:hAnsi="Calibri" w:cs="Batang"/>
                <w:lang w:val="en-GB" w:eastAsia="ko-KR"/>
              </w:rPr>
            </w:pPr>
            <w:r>
              <w:rPr>
                <w:rFonts w:ascii="Calibri" w:eastAsia="Malgun Gothic" w:hAnsi="Calibri" w:cs="Batang"/>
                <w:lang w:val="en-GB" w:eastAsia="ko-KR"/>
              </w:rPr>
              <w:t>Path #1</w:t>
            </w:r>
          </w:p>
        </w:tc>
        <w:tc>
          <w:tcPr>
            <w:tcW w:w="0" w:type="auto"/>
          </w:tcPr>
          <w:p w:rsidR="00D11CE2" w:rsidRDefault="00D11CE2" w:rsidP="00D11CE2">
            <w:pPr>
              <w:jc w:val="center"/>
              <w:rPr>
                <w:rFonts w:ascii="Calibri" w:eastAsia="Malgun Gothic" w:hAnsi="Calibri" w:cs="Batang"/>
                <w:lang w:val="en-GB" w:eastAsia="ko-KR"/>
              </w:rPr>
            </w:pPr>
            <w:r>
              <w:rPr>
                <w:rFonts w:ascii="Calibri" w:eastAsia="Malgun Gothic" w:hAnsi="Calibri" w:cs="Batang"/>
                <w:lang w:val="en-GB" w:eastAsia="ko-KR"/>
              </w:rPr>
              <w:t>IAB node address #1</w:t>
            </w:r>
          </w:p>
        </w:tc>
        <w:tc>
          <w:tcPr>
            <w:tcW w:w="0" w:type="auto"/>
          </w:tcPr>
          <w:p w:rsidR="00D11CE2" w:rsidRDefault="00D11CE2" w:rsidP="00D11CE2">
            <w:pPr>
              <w:jc w:val="center"/>
              <w:rPr>
                <w:rFonts w:ascii="Calibri" w:eastAsia="Malgun Gothic" w:hAnsi="Calibri" w:cs="Batang"/>
                <w:lang w:val="en-GB" w:eastAsia="ko-KR"/>
              </w:rPr>
            </w:pPr>
            <w:r>
              <w:rPr>
                <w:rFonts w:ascii="Calibri" w:eastAsia="Malgun Gothic" w:hAnsi="Calibri" w:cs="Batang"/>
                <w:lang w:val="en-GB" w:eastAsia="ko-KR"/>
              </w:rPr>
              <w:t>Link A</w:t>
            </w:r>
          </w:p>
        </w:tc>
        <w:tc>
          <w:tcPr>
            <w:tcW w:w="0" w:type="auto"/>
          </w:tcPr>
          <w:p w:rsidR="00D11CE2" w:rsidRDefault="00D11CE2" w:rsidP="00D11CE2">
            <w:pPr>
              <w:jc w:val="center"/>
              <w:rPr>
                <w:rFonts w:ascii="Calibri" w:eastAsia="Malgun Gothic" w:hAnsi="Calibri" w:cs="Batang"/>
                <w:lang w:val="en-GB" w:eastAsia="ko-KR"/>
              </w:rPr>
            </w:pPr>
            <w:proofErr w:type="spellStart"/>
            <w:r>
              <w:rPr>
                <w:rFonts w:ascii="Calibri" w:eastAsia="Malgun Gothic" w:hAnsi="Calibri" w:cs="Batang"/>
                <w:lang w:val="en-GB" w:eastAsia="ko-KR"/>
              </w:rPr>
              <w:t>x.y</w:t>
            </w:r>
            <w:proofErr w:type="spellEnd"/>
          </w:p>
        </w:tc>
      </w:tr>
      <w:tr w:rsidR="00D11CE2" w:rsidTr="00C97789">
        <w:trPr>
          <w:jc w:val="center"/>
        </w:trPr>
        <w:tc>
          <w:tcPr>
            <w:tcW w:w="0" w:type="auto"/>
          </w:tcPr>
          <w:p w:rsidR="00D11CE2" w:rsidRDefault="00D11CE2" w:rsidP="00D11CE2">
            <w:pPr>
              <w:jc w:val="center"/>
              <w:rPr>
                <w:rFonts w:ascii="Calibri" w:eastAsia="Malgun Gothic" w:hAnsi="Calibri" w:cs="Batang"/>
                <w:lang w:val="en-GB" w:eastAsia="ko-KR"/>
              </w:rPr>
            </w:pPr>
            <w:r>
              <w:rPr>
                <w:rFonts w:ascii="Calibri" w:eastAsia="Malgun Gothic" w:hAnsi="Calibri" w:cs="Batang"/>
                <w:lang w:val="en-GB" w:eastAsia="ko-KR"/>
              </w:rPr>
              <w:t>Path #2</w:t>
            </w:r>
          </w:p>
        </w:tc>
        <w:tc>
          <w:tcPr>
            <w:tcW w:w="0" w:type="auto"/>
          </w:tcPr>
          <w:p w:rsidR="00D11CE2" w:rsidRDefault="00D11CE2" w:rsidP="00D11CE2">
            <w:pPr>
              <w:jc w:val="center"/>
              <w:rPr>
                <w:rFonts w:ascii="Calibri" w:eastAsia="Malgun Gothic" w:hAnsi="Calibri" w:cs="Batang"/>
                <w:lang w:val="en-GB" w:eastAsia="ko-KR"/>
              </w:rPr>
            </w:pPr>
            <w:r>
              <w:rPr>
                <w:rFonts w:ascii="Calibri" w:eastAsia="Malgun Gothic" w:hAnsi="Calibri" w:cs="Batang"/>
                <w:lang w:val="en-GB" w:eastAsia="ko-KR"/>
              </w:rPr>
              <w:t>IAB node address #1</w:t>
            </w:r>
          </w:p>
        </w:tc>
        <w:tc>
          <w:tcPr>
            <w:tcW w:w="0" w:type="auto"/>
          </w:tcPr>
          <w:p w:rsidR="00D11CE2" w:rsidRDefault="00D11CE2" w:rsidP="00D11CE2">
            <w:pPr>
              <w:jc w:val="center"/>
              <w:rPr>
                <w:rFonts w:ascii="Calibri" w:eastAsia="Malgun Gothic" w:hAnsi="Calibri" w:cs="Batang"/>
                <w:lang w:val="en-GB" w:eastAsia="ko-KR"/>
              </w:rPr>
            </w:pPr>
            <w:r>
              <w:rPr>
                <w:rFonts w:ascii="Calibri" w:eastAsia="Malgun Gothic" w:hAnsi="Calibri" w:cs="Batang"/>
                <w:lang w:val="en-GB" w:eastAsia="ko-KR"/>
              </w:rPr>
              <w:t>Link B</w:t>
            </w:r>
          </w:p>
        </w:tc>
        <w:tc>
          <w:tcPr>
            <w:tcW w:w="0" w:type="auto"/>
          </w:tcPr>
          <w:p w:rsidR="00D11CE2" w:rsidRDefault="00D11CE2" w:rsidP="00D11CE2">
            <w:pPr>
              <w:jc w:val="center"/>
              <w:rPr>
                <w:rFonts w:ascii="Calibri" w:eastAsia="Malgun Gothic" w:hAnsi="Calibri" w:cs="Batang"/>
                <w:lang w:val="en-GB" w:eastAsia="ko-KR"/>
              </w:rPr>
            </w:pPr>
            <w:proofErr w:type="spellStart"/>
            <w:r>
              <w:rPr>
                <w:rFonts w:ascii="Calibri" w:eastAsia="Malgun Gothic" w:hAnsi="Calibri" w:cs="Batang"/>
                <w:lang w:val="en-GB" w:eastAsia="ko-KR"/>
              </w:rPr>
              <w:t>m.n</w:t>
            </w:r>
            <w:proofErr w:type="spellEnd"/>
          </w:p>
        </w:tc>
      </w:tr>
      <w:tr w:rsidR="00D11CE2" w:rsidTr="00C97789">
        <w:trPr>
          <w:jc w:val="center"/>
        </w:trPr>
        <w:tc>
          <w:tcPr>
            <w:tcW w:w="0" w:type="auto"/>
          </w:tcPr>
          <w:p w:rsidR="00D11CE2" w:rsidRDefault="00D11CE2" w:rsidP="00D11CE2">
            <w:pPr>
              <w:jc w:val="center"/>
              <w:rPr>
                <w:rFonts w:ascii="Calibri" w:eastAsia="Malgun Gothic" w:hAnsi="Calibri" w:cs="Batang"/>
                <w:lang w:val="en-GB" w:eastAsia="ko-KR"/>
              </w:rPr>
            </w:pPr>
            <w:r>
              <w:rPr>
                <w:rFonts w:ascii="Calibri" w:eastAsia="Malgun Gothic" w:hAnsi="Calibri" w:cs="Batang"/>
                <w:lang w:val="en-GB" w:eastAsia="ko-KR"/>
              </w:rPr>
              <w:t>Path #3</w:t>
            </w:r>
          </w:p>
        </w:tc>
        <w:tc>
          <w:tcPr>
            <w:tcW w:w="0" w:type="auto"/>
          </w:tcPr>
          <w:p w:rsidR="00D11CE2" w:rsidRDefault="00D11CE2" w:rsidP="00D11CE2">
            <w:pPr>
              <w:jc w:val="center"/>
              <w:rPr>
                <w:rFonts w:ascii="Calibri" w:eastAsia="Malgun Gothic" w:hAnsi="Calibri" w:cs="Batang"/>
                <w:lang w:val="en-GB" w:eastAsia="ko-KR"/>
              </w:rPr>
            </w:pPr>
            <w:r>
              <w:rPr>
                <w:rFonts w:ascii="Calibri" w:eastAsia="Malgun Gothic" w:hAnsi="Calibri" w:cs="Batang"/>
                <w:lang w:val="en-GB" w:eastAsia="ko-KR"/>
              </w:rPr>
              <w:t>IAB node address #1</w:t>
            </w:r>
          </w:p>
        </w:tc>
        <w:tc>
          <w:tcPr>
            <w:tcW w:w="0" w:type="auto"/>
          </w:tcPr>
          <w:p w:rsidR="00D11CE2" w:rsidRDefault="00D11CE2" w:rsidP="00D11CE2">
            <w:pPr>
              <w:jc w:val="center"/>
              <w:rPr>
                <w:rFonts w:ascii="Calibri" w:eastAsia="Malgun Gothic" w:hAnsi="Calibri" w:cs="Batang"/>
                <w:lang w:val="en-GB" w:eastAsia="ko-KR"/>
              </w:rPr>
            </w:pPr>
            <w:r>
              <w:rPr>
                <w:rFonts w:ascii="Calibri" w:eastAsia="Malgun Gothic" w:hAnsi="Calibri" w:cs="Batang"/>
                <w:lang w:val="en-GB" w:eastAsia="ko-KR"/>
              </w:rPr>
              <w:t>Link C</w:t>
            </w:r>
          </w:p>
        </w:tc>
        <w:tc>
          <w:tcPr>
            <w:tcW w:w="0" w:type="auto"/>
          </w:tcPr>
          <w:p w:rsidR="00D11CE2" w:rsidRDefault="00D11CE2" w:rsidP="00D11CE2">
            <w:pPr>
              <w:jc w:val="center"/>
              <w:rPr>
                <w:rFonts w:ascii="Calibri" w:eastAsia="Malgun Gothic" w:hAnsi="Calibri" w:cs="Batang"/>
                <w:lang w:val="en-GB" w:eastAsia="ko-KR"/>
              </w:rPr>
            </w:pPr>
            <w:proofErr w:type="spellStart"/>
            <w:r>
              <w:rPr>
                <w:rFonts w:ascii="Calibri" w:eastAsia="Malgun Gothic" w:hAnsi="Calibri" w:cs="Batang"/>
                <w:lang w:val="en-GB" w:eastAsia="ko-KR"/>
              </w:rPr>
              <w:t>p.q</w:t>
            </w:r>
            <w:proofErr w:type="spellEnd"/>
          </w:p>
        </w:tc>
      </w:tr>
      <w:tr w:rsidR="00D11CE2" w:rsidTr="00C97789">
        <w:trPr>
          <w:jc w:val="center"/>
        </w:trPr>
        <w:tc>
          <w:tcPr>
            <w:tcW w:w="0" w:type="auto"/>
          </w:tcPr>
          <w:p w:rsidR="00D11CE2" w:rsidRDefault="00D11CE2" w:rsidP="00D11CE2">
            <w:pPr>
              <w:jc w:val="center"/>
              <w:rPr>
                <w:rFonts w:ascii="Calibri" w:eastAsia="Malgun Gothic" w:hAnsi="Calibri" w:cs="Batang"/>
                <w:lang w:val="en-GB" w:eastAsia="ko-KR"/>
              </w:rPr>
            </w:pPr>
            <w:r>
              <w:rPr>
                <w:rFonts w:ascii="Calibri" w:eastAsia="Malgun Gothic" w:hAnsi="Calibri" w:cs="Batang"/>
                <w:lang w:val="en-GB" w:eastAsia="ko-KR"/>
              </w:rPr>
              <w:t>Path #4</w:t>
            </w:r>
          </w:p>
        </w:tc>
        <w:tc>
          <w:tcPr>
            <w:tcW w:w="0" w:type="auto"/>
          </w:tcPr>
          <w:p w:rsidR="00D11CE2" w:rsidRDefault="00D11CE2" w:rsidP="00D11CE2">
            <w:pPr>
              <w:jc w:val="center"/>
              <w:rPr>
                <w:rFonts w:ascii="Calibri" w:eastAsia="Malgun Gothic" w:hAnsi="Calibri" w:cs="Batang"/>
                <w:lang w:val="en-GB" w:eastAsia="ko-KR"/>
              </w:rPr>
            </w:pPr>
            <w:r>
              <w:rPr>
                <w:rFonts w:ascii="Calibri" w:eastAsia="Malgun Gothic" w:hAnsi="Calibri" w:cs="Batang"/>
                <w:lang w:val="en-GB" w:eastAsia="ko-KR"/>
              </w:rPr>
              <w:t>IAB node address #2</w:t>
            </w:r>
          </w:p>
        </w:tc>
        <w:tc>
          <w:tcPr>
            <w:tcW w:w="0" w:type="auto"/>
          </w:tcPr>
          <w:p w:rsidR="00D11CE2" w:rsidRDefault="00D11CE2" w:rsidP="00D11CE2">
            <w:pPr>
              <w:jc w:val="center"/>
              <w:rPr>
                <w:rFonts w:ascii="Calibri" w:eastAsia="Malgun Gothic" w:hAnsi="Calibri" w:cs="Batang"/>
                <w:lang w:val="en-GB" w:eastAsia="ko-KR"/>
              </w:rPr>
            </w:pPr>
            <w:r>
              <w:rPr>
                <w:rFonts w:ascii="Calibri" w:eastAsia="Malgun Gothic" w:hAnsi="Calibri" w:cs="Batang"/>
                <w:lang w:val="en-GB" w:eastAsia="ko-KR"/>
              </w:rPr>
              <w:t>Link D</w:t>
            </w:r>
          </w:p>
        </w:tc>
        <w:tc>
          <w:tcPr>
            <w:tcW w:w="0" w:type="auto"/>
          </w:tcPr>
          <w:p w:rsidR="00D11CE2" w:rsidRDefault="00D11CE2" w:rsidP="00D11CE2">
            <w:pPr>
              <w:jc w:val="center"/>
              <w:rPr>
                <w:rFonts w:ascii="Calibri" w:eastAsia="Malgun Gothic" w:hAnsi="Calibri" w:cs="Batang"/>
                <w:lang w:val="en-GB" w:eastAsia="ko-KR"/>
              </w:rPr>
            </w:pPr>
            <w:proofErr w:type="spellStart"/>
            <w:r>
              <w:rPr>
                <w:rFonts w:ascii="Calibri" w:eastAsia="Malgun Gothic" w:hAnsi="Calibri" w:cs="Batang"/>
                <w:lang w:val="en-GB" w:eastAsia="ko-KR"/>
              </w:rPr>
              <w:t>u.v</w:t>
            </w:r>
            <w:proofErr w:type="spellEnd"/>
          </w:p>
        </w:tc>
      </w:tr>
    </w:tbl>
    <w:p w:rsidR="007321F2" w:rsidRDefault="007321F2" w:rsidP="0055514B">
      <w:pPr>
        <w:rPr>
          <w:rFonts w:ascii="Calibri" w:eastAsia="Malgun Gothic" w:hAnsi="Calibri" w:cs="Batang"/>
          <w:lang w:val="en-GB" w:eastAsia="ko-KR"/>
        </w:rPr>
      </w:pPr>
    </w:p>
    <w:p w:rsidR="00562566" w:rsidRDefault="000341AA" w:rsidP="00562566">
      <w:pPr>
        <w:rPr>
          <w:rFonts w:ascii="Calibri" w:eastAsia="Malgun Gothic" w:hAnsi="Calibri" w:cs="Batang"/>
          <w:lang w:val="en-GB" w:eastAsia="ko-KR"/>
        </w:rPr>
      </w:pPr>
      <w:r>
        <w:rPr>
          <w:rFonts w:ascii="Calibri" w:eastAsia="Malgun Gothic" w:hAnsi="Calibri" w:cs="Batang"/>
          <w:lang w:val="en-GB" w:eastAsia="ko-KR"/>
        </w:rPr>
        <w:t>E</w:t>
      </w:r>
      <w:r w:rsidR="00562566">
        <w:rPr>
          <w:rFonts w:ascii="Calibri" w:eastAsia="Malgun Gothic" w:hAnsi="Calibri" w:cs="Batang"/>
          <w:lang w:val="en-GB" w:eastAsia="ko-KR"/>
        </w:rPr>
        <w:t xml:space="preserve">ven when there is no link failure, </w:t>
      </w:r>
      <w:r>
        <w:rPr>
          <w:rFonts w:ascii="Calibri" w:eastAsia="Malgun Gothic" w:hAnsi="Calibri" w:cs="Batang"/>
          <w:lang w:val="en-GB" w:eastAsia="ko-KR"/>
        </w:rPr>
        <w:t xml:space="preserve">when at least two paths are configured at an IAB node for the same destination node, </w:t>
      </w:r>
      <w:r w:rsidR="00562566">
        <w:rPr>
          <w:rFonts w:ascii="Calibri" w:eastAsia="Malgun Gothic" w:hAnsi="Calibri" w:cs="Batang"/>
          <w:lang w:val="en-GB" w:eastAsia="ko-KR"/>
        </w:rPr>
        <w:t xml:space="preserve">populating a donor-managed cost metric per path </w:t>
      </w:r>
      <w:r w:rsidR="00A27484">
        <w:rPr>
          <w:rFonts w:ascii="Calibri" w:eastAsia="Malgun Gothic" w:hAnsi="Calibri" w:cs="Batang"/>
          <w:lang w:val="en-GB" w:eastAsia="ko-KR"/>
        </w:rPr>
        <w:t xml:space="preserve">in routing tables at IAB nodes allows the donor CU to perform semi-static load balancing at any IAB node. </w:t>
      </w:r>
    </w:p>
    <w:p w:rsidR="000341AA" w:rsidRPr="00A27484" w:rsidRDefault="000341AA" w:rsidP="000341AA">
      <w:pPr>
        <w:rPr>
          <w:rFonts w:ascii="Calibri" w:eastAsia="Malgun Gothic" w:hAnsi="Calibri" w:cs="Batang"/>
          <w:b/>
          <w:lang w:val="en-GB" w:eastAsia="ko-KR"/>
        </w:rPr>
      </w:pPr>
      <w:r w:rsidRPr="00A27484">
        <w:rPr>
          <w:rFonts w:ascii="Calibri" w:eastAsia="Malgun Gothic" w:hAnsi="Calibri" w:cs="Batang"/>
          <w:b/>
          <w:lang w:val="en-GB" w:eastAsia="ko-KR"/>
        </w:rPr>
        <w:t xml:space="preserve">Observation 3: When a donor-managed cost metric is configured per path in routing tables at IAB nodes, it enables the donor node to effectively influence the local path selection at IAB nodes in case of link failure, or other potential FFS cases. </w:t>
      </w:r>
    </w:p>
    <w:p w:rsidR="00A27484" w:rsidRPr="00A27484" w:rsidRDefault="00A27484" w:rsidP="00562566">
      <w:pPr>
        <w:rPr>
          <w:rFonts w:ascii="Calibri" w:eastAsia="Malgun Gothic" w:hAnsi="Calibri" w:cs="Batang"/>
          <w:b/>
          <w:lang w:val="en-GB" w:eastAsia="ko-KR"/>
        </w:rPr>
      </w:pPr>
      <w:r w:rsidRPr="00A27484">
        <w:rPr>
          <w:rFonts w:ascii="Calibri" w:eastAsia="Malgun Gothic" w:hAnsi="Calibri" w:cs="Batang"/>
          <w:b/>
          <w:lang w:val="en-GB" w:eastAsia="ko-KR"/>
        </w:rPr>
        <w:t xml:space="preserve">Observation 4: </w:t>
      </w:r>
      <w:r w:rsidR="00012B21" w:rsidRPr="00A27484">
        <w:rPr>
          <w:rFonts w:ascii="Calibri" w:eastAsia="Malgun Gothic" w:hAnsi="Calibri" w:cs="Batang"/>
          <w:b/>
          <w:lang w:val="en-GB" w:eastAsia="ko-KR"/>
        </w:rPr>
        <w:t xml:space="preserve">When a donor-managed cost metric is configured per path in routing tables at IAB nodes, </w:t>
      </w:r>
      <w:r w:rsidR="00012B21">
        <w:rPr>
          <w:rFonts w:ascii="Calibri" w:eastAsia="Malgun Gothic" w:hAnsi="Calibri" w:cs="Batang"/>
          <w:b/>
          <w:lang w:val="en-GB" w:eastAsia="ko-KR"/>
        </w:rPr>
        <w:t xml:space="preserve">it </w:t>
      </w:r>
      <w:r w:rsidR="007F2266">
        <w:rPr>
          <w:rFonts w:ascii="Calibri" w:eastAsia="Malgun Gothic" w:hAnsi="Calibri" w:cs="Batang"/>
          <w:b/>
          <w:lang w:val="en-GB" w:eastAsia="ko-KR"/>
        </w:rPr>
        <w:t>enables</w:t>
      </w:r>
      <w:r w:rsidRPr="00A27484">
        <w:rPr>
          <w:rFonts w:ascii="Calibri" w:eastAsia="Malgun Gothic" w:hAnsi="Calibri" w:cs="Batang"/>
          <w:b/>
          <w:lang w:val="en-GB" w:eastAsia="ko-KR"/>
        </w:rPr>
        <w:t xml:space="preserve"> the donor CU to perform semi-static load balancing at any IAB node.</w:t>
      </w:r>
    </w:p>
    <w:p w:rsidR="001855A0" w:rsidRPr="00503795" w:rsidRDefault="001855A0" w:rsidP="001855A0">
      <w:pPr>
        <w:rPr>
          <w:rFonts w:ascii="Calibri" w:eastAsia="Malgun Gothic" w:hAnsi="Calibri" w:cs="Batang"/>
          <w:b/>
          <w:lang w:val="en-GB" w:eastAsia="ko-KR"/>
        </w:rPr>
      </w:pPr>
      <w:r w:rsidRPr="00503795">
        <w:rPr>
          <w:rFonts w:ascii="Calibri" w:eastAsia="Malgun Gothic" w:hAnsi="Calibri" w:cs="Batang"/>
          <w:b/>
          <w:lang w:val="en-GB" w:eastAsia="ko-KR"/>
        </w:rPr>
        <w:t xml:space="preserve">Proposal 1: RAN2 should consider route selection at the IAB node based on </w:t>
      </w:r>
      <w:r>
        <w:rPr>
          <w:rFonts w:ascii="Calibri" w:eastAsia="Malgun Gothic" w:hAnsi="Calibri" w:cs="Batang"/>
          <w:b/>
          <w:lang w:val="en-GB" w:eastAsia="ko-KR"/>
        </w:rPr>
        <w:t>a</w:t>
      </w:r>
      <w:r w:rsidRPr="00503795">
        <w:rPr>
          <w:rFonts w:ascii="Calibri" w:eastAsia="Malgun Gothic" w:hAnsi="Calibri" w:cs="Batang"/>
          <w:b/>
          <w:lang w:val="en-GB" w:eastAsia="ko-KR"/>
        </w:rPr>
        <w:t xml:space="preserve"> route identifier + per</w:t>
      </w:r>
      <w:r w:rsidR="00997812">
        <w:rPr>
          <w:rFonts w:ascii="Calibri" w:eastAsia="Malgun Gothic" w:hAnsi="Calibri" w:cs="Batang"/>
          <w:b/>
          <w:lang w:val="en-GB" w:eastAsia="ko-KR"/>
        </w:rPr>
        <w:t>-</w:t>
      </w:r>
      <w:r w:rsidRPr="00503795">
        <w:rPr>
          <w:rFonts w:ascii="Calibri" w:eastAsia="Malgun Gothic" w:hAnsi="Calibri" w:cs="Batang"/>
          <w:b/>
          <w:lang w:val="en-GB" w:eastAsia="ko-KR"/>
        </w:rPr>
        <w:t>path cost metric provided by the donor CU.</w:t>
      </w:r>
    </w:p>
    <w:p w:rsidR="00C408C7" w:rsidRPr="004131D6" w:rsidRDefault="00C408C7" w:rsidP="004A7002">
      <w:pPr>
        <w:rPr>
          <w:rFonts w:ascii="Calibri" w:eastAsia="Malgun Gothic" w:hAnsi="Calibri" w:cs="Batang"/>
          <w:b/>
          <w:lang w:val="en-GB" w:eastAsia="ko-KR"/>
        </w:rPr>
      </w:pP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4A7002" w:rsidRPr="001B2250" w:rsidRDefault="00477F9F" w:rsidP="004A7002">
      <w:pPr>
        <w:pStyle w:val="maintext"/>
        <w:ind w:firstLineChars="0" w:firstLine="0"/>
        <w:rPr>
          <w:rFonts w:ascii="Calibri" w:hAnsi="Calibri"/>
        </w:rPr>
      </w:pPr>
      <w:r>
        <w:rPr>
          <w:rFonts w:ascii="Calibri" w:hAnsi="Calibri"/>
        </w:rPr>
        <w:t xml:space="preserve">In this contribution we discussed </w:t>
      </w:r>
      <w:r w:rsidR="00503795">
        <w:rPr>
          <w:rFonts w:ascii="Calibri" w:hAnsi="Calibri"/>
        </w:rPr>
        <w:t>the issue related to enabling the donor CU to maintain full control of routing in an IAB network and influence local selection at IAB nodes in case of link failure or other potential FFS cases. The following observations and proposal w</w:t>
      </w:r>
      <w:r w:rsidR="00012B21">
        <w:rPr>
          <w:rFonts w:ascii="Calibri" w:hAnsi="Calibri"/>
        </w:rPr>
        <w:t>ere</w:t>
      </w:r>
      <w:r w:rsidR="00503795">
        <w:rPr>
          <w:rFonts w:ascii="Calibri" w:hAnsi="Calibri"/>
        </w:rPr>
        <w:t xml:space="preserve"> made</w:t>
      </w:r>
      <w:r w:rsidR="00BB02D4">
        <w:rPr>
          <w:rFonts w:ascii="Calibri" w:hAnsi="Calibri"/>
        </w:rPr>
        <w:t>:</w:t>
      </w:r>
      <w:r w:rsidR="004A7002">
        <w:rPr>
          <w:rFonts w:ascii="Calibri" w:hAnsi="Calibri"/>
        </w:rPr>
        <w:t xml:space="preserve"> </w:t>
      </w:r>
    </w:p>
    <w:p w:rsidR="00503795" w:rsidRPr="00ED1CBF" w:rsidRDefault="00503795" w:rsidP="00503795">
      <w:pPr>
        <w:rPr>
          <w:rFonts w:ascii="Calibri" w:eastAsia="Malgun Gothic" w:hAnsi="Calibri" w:cs="Batang"/>
          <w:b/>
          <w:lang w:val="en-GB" w:eastAsia="ko-KR"/>
        </w:rPr>
      </w:pPr>
      <w:r w:rsidRPr="00ED1CBF">
        <w:rPr>
          <w:rFonts w:ascii="Calibri" w:eastAsia="Malgun Gothic" w:hAnsi="Calibri" w:cs="Batang"/>
          <w:b/>
          <w:lang w:val="en-GB" w:eastAsia="ko-KR"/>
        </w:rPr>
        <w:t>Observation 1: When there are multiple routes configured for the same destination at an IAB node, for either destination ID based routing or path ID based routing schemes, the IAB node may need to be provided some additional information to enable it to make correct local selection decision</w:t>
      </w:r>
      <w:r w:rsidR="005D78CA">
        <w:rPr>
          <w:rFonts w:ascii="Calibri" w:eastAsia="Malgun Gothic" w:hAnsi="Calibri" w:cs="Batang"/>
          <w:b/>
          <w:lang w:val="en-GB" w:eastAsia="ko-KR"/>
        </w:rPr>
        <w:t>s</w:t>
      </w:r>
      <w:r w:rsidRPr="00ED1CBF">
        <w:rPr>
          <w:rFonts w:ascii="Calibri" w:eastAsia="Malgun Gothic" w:hAnsi="Calibri" w:cs="Batang"/>
          <w:b/>
          <w:lang w:val="en-GB" w:eastAsia="ko-KR"/>
        </w:rPr>
        <w:t xml:space="preserve"> in case of link failure or other FFS cases. </w:t>
      </w:r>
    </w:p>
    <w:p w:rsidR="00503795" w:rsidRPr="002654F5" w:rsidRDefault="00503795" w:rsidP="00503795">
      <w:pPr>
        <w:rPr>
          <w:rFonts w:ascii="Calibri" w:eastAsia="Malgun Gothic" w:hAnsi="Calibri" w:cs="Batang"/>
          <w:b/>
          <w:lang w:val="en-GB" w:eastAsia="ko-KR"/>
        </w:rPr>
      </w:pPr>
      <w:r w:rsidRPr="002654F5">
        <w:rPr>
          <w:rFonts w:ascii="Calibri" w:eastAsia="Malgun Gothic" w:hAnsi="Calibri" w:cs="Batang"/>
          <w:b/>
          <w:lang w:val="en-GB" w:eastAsia="ko-KR"/>
        </w:rPr>
        <w:t xml:space="preserve">Observation 2: None of the </w:t>
      </w:r>
      <w:r>
        <w:rPr>
          <w:rFonts w:ascii="Calibri" w:eastAsia="Malgun Gothic" w:hAnsi="Calibri" w:cs="Batang"/>
          <w:b/>
          <w:lang w:val="en-GB" w:eastAsia="ko-KR"/>
        </w:rPr>
        <w:t>route selection</w:t>
      </w:r>
      <w:r w:rsidRPr="002654F5">
        <w:rPr>
          <w:rFonts w:ascii="Calibri" w:eastAsia="Malgun Gothic" w:hAnsi="Calibri" w:cs="Batang"/>
          <w:b/>
          <w:lang w:val="en-GB" w:eastAsia="ko-KR"/>
        </w:rPr>
        <w:t xml:space="preserve"> candidates that were discussed by RAN2 allow the donor node to control routing </w:t>
      </w:r>
      <w:r>
        <w:rPr>
          <w:rFonts w:ascii="Calibri" w:eastAsia="Malgun Gothic" w:hAnsi="Calibri" w:cs="Batang"/>
          <w:b/>
          <w:lang w:val="en-GB" w:eastAsia="ko-KR"/>
        </w:rPr>
        <w:t xml:space="preserve">and </w:t>
      </w:r>
      <w:r w:rsidR="00430E89">
        <w:rPr>
          <w:rFonts w:ascii="Calibri" w:eastAsia="Malgun Gothic" w:hAnsi="Calibri" w:cs="Batang"/>
          <w:b/>
          <w:lang w:val="en-GB" w:eastAsia="ko-KR"/>
        </w:rPr>
        <w:t xml:space="preserve">also </w:t>
      </w:r>
      <w:r>
        <w:rPr>
          <w:rFonts w:ascii="Calibri" w:eastAsia="Malgun Gothic" w:hAnsi="Calibri" w:cs="Batang"/>
          <w:b/>
          <w:lang w:val="en-GB" w:eastAsia="ko-KR"/>
        </w:rPr>
        <w:t>influence</w:t>
      </w:r>
      <w:r w:rsidRPr="002654F5">
        <w:rPr>
          <w:rFonts w:ascii="Calibri" w:eastAsia="Malgun Gothic" w:hAnsi="Calibri" w:cs="Batang"/>
          <w:b/>
          <w:lang w:val="en-GB" w:eastAsia="ko-KR"/>
        </w:rPr>
        <w:t xml:space="preserve"> the IAB nodes to make correct local selection decisions in case of link failure or other FFS cases.</w:t>
      </w:r>
    </w:p>
    <w:p w:rsidR="00A27484" w:rsidRPr="00A27484" w:rsidRDefault="00A27484" w:rsidP="00A27484">
      <w:pPr>
        <w:rPr>
          <w:rFonts w:ascii="Calibri" w:eastAsia="Malgun Gothic" w:hAnsi="Calibri" w:cs="Batang"/>
          <w:b/>
          <w:lang w:val="en-GB" w:eastAsia="ko-KR"/>
        </w:rPr>
      </w:pPr>
      <w:r w:rsidRPr="00A27484">
        <w:rPr>
          <w:rFonts w:ascii="Calibri" w:eastAsia="Malgun Gothic" w:hAnsi="Calibri" w:cs="Batang"/>
          <w:b/>
          <w:lang w:val="en-GB" w:eastAsia="ko-KR"/>
        </w:rPr>
        <w:t xml:space="preserve">Observation 3: When a donor-managed cost metric is configured per path in routing tables at IAB nodes, it enables the donor node to effectively influence the local path selection at IAB nodes in case of link failure, or other potential FFS cases. </w:t>
      </w:r>
    </w:p>
    <w:p w:rsidR="00012B21" w:rsidRPr="00A27484" w:rsidRDefault="00012B21" w:rsidP="00012B21">
      <w:pPr>
        <w:rPr>
          <w:rFonts w:ascii="Calibri" w:eastAsia="Malgun Gothic" w:hAnsi="Calibri" w:cs="Batang"/>
          <w:b/>
          <w:lang w:val="en-GB" w:eastAsia="ko-KR"/>
        </w:rPr>
      </w:pPr>
      <w:r w:rsidRPr="00A27484">
        <w:rPr>
          <w:rFonts w:ascii="Calibri" w:eastAsia="Malgun Gothic" w:hAnsi="Calibri" w:cs="Batang"/>
          <w:b/>
          <w:lang w:val="en-GB" w:eastAsia="ko-KR"/>
        </w:rPr>
        <w:t xml:space="preserve">Observation 4: When a donor-managed cost metric is configured per path in routing tables at IAB nodes, </w:t>
      </w:r>
      <w:r>
        <w:rPr>
          <w:rFonts w:ascii="Calibri" w:eastAsia="Malgun Gothic" w:hAnsi="Calibri" w:cs="Batang"/>
          <w:b/>
          <w:lang w:val="en-GB" w:eastAsia="ko-KR"/>
        </w:rPr>
        <w:t xml:space="preserve">it </w:t>
      </w:r>
      <w:r w:rsidR="00A926C9">
        <w:rPr>
          <w:rFonts w:ascii="Calibri" w:eastAsia="Malgun Gothic" w:hAnsi="Calibri" w:cs="Batang"/>
          <w:b/>
          <w:lang w:val="en-GB" w:eastAsia="ko-KR"/>
        </w:rPr>
        <w:t>enables</w:t>
      </w:r>
      <w:r w:rsidRPr="00A27484">
        <w:rPr>
          <w:rFonts w:ascii="Calibri" w:eastAsia="Malgun Gothic" w:hAnsi="Calibri" w:cs="Batang"/>
          <w:b/>
          <w:lang w:val="en-GB" w:eastAsia="ko-KR"/>
        </w:rPr>
        <w:t xml:space="preserve"> the donor CU to perform semi-static load balancing at any IAB node.</w:t>
      </w:r>
      <w:bookmarkStart w:id="2" w:name="_GoBack"/>
      <w:bookmarkEnd w:id="2"/>
    </w:p>
    <w:p w:rsidR="00C408C7" w:rsidRDefault="00C408C7" w:rsidP="00C408C7">
      <w:pPr>
        <w:rPr>
          <w:rFonts w:ascii="Calibri" w:eastAsia="Malgun Gothic" w:hAnsi="Calibri" w:cs="Batang"/>
          <w:b/>
          <w:lang w:val="en-GB" w:eastAsia="ko-KR"/>
        </w:rPr>
      </w:pPr>
    </w:p>
    <w:p w:rsidR="00503795" w:rsidRPr="00503795" w:rsidRDefault="00503795" w:rsidP="00503795">
      <w:pPr>
        <w:rPr>
          <w:rFonts w:ascii="Calibri" w:eastAsia="Malgun Gothic" w:hAnsi="Calibri" w:cs="Batang"/>
          <w:b/>
          <w:lang w:val="en-GB" w:eastAsia="ko-KR"/>
        </w:rPr>
      </w:pPr>
      <w:r w:rsidRPr="00503795">
        <w:rPr>
          <w:rFonts w:ascii="Calibri" w:eastAsia="Malgun Gothic" w:hAnsi="Calibri" w:cs="Batang"/>
          <w:b/>
          <w:lang w:val="en-GB" w:eastAsia="ko-KR"/>
        </w:rPr>
        <w:t xml:space="preserve">Proposal 1: RAN2 should consider route selection at the IAB node based on </w:t>
      </w:r>
      <w:r w:rsidR="001855A0">
        <w:rPr>
          <w:rFonts w:ascii="Calibri" w:eastAsia="Malgun Gothic" w:hAnsi="Calibri" w:cs="Batang"/>
          <w:b/>
          <w:lang w:val="en-GB" w:eastAsia="ko-KR"/>
        </w:rPr>
        <w:t>a</w:t>
      </w:r>
      <w:r w:rsidRPr="00503795">
        <w:rPr>
          <w:rFonts w:ascii="Calibri" w:eastAsia="Malgun Gothic" w:hAnsi="Calibri" w:cs="Batang"/>
          <w:b/>
          <w:lang w:val="en-GB" w:eastAsia="ko-KR"/>
        </w:rPr>
        <w:t xml:space="preserve"> route identifier + per</w:t>
      </w:r>
      <w:r w:rsidR="00997812">
        <w:rPr>
          <w:rFonts w:ascii="Calibri" w:eastAsia="Malgun Gothic" w:hAnsi="Calibri" w:cs="Batang"/>
          <w:b/>
          <w:lang w:val="en-GB" w:eastAsia="ko-KR"/>
        </w:rPr>
        <w:t>-</w:t>
      </w:r>
      <w:r w:rsidRPr="00503795">
        <w:rPr>
          <w:rFonts w:ascii="Calibri" w:eastAsia="Malgun Gothic" w:hAnsi="Calibri" w:cs="Batang"/>
          <w:b/>
          <w:lang w:val="en-GB" w:eastAsia="ko-KR"/>
        </w:rPr>
        <w:t xml:space="preserve">path cost </w:t>
      </w:r>
      <w:r w:rsidR="001855A0" w:rsidRPr="00503795">
        <w:rPr>
          <w:rFonts w:ascii="Calibri" w:eastAsia="Malgun Gothic" w:hAnsi="Calibri" w:cs="Batang"/>
          <w:b/>
          <w:lang w:val="en-GB" w:eastAsia="ko-KR"/>
        </w:rPr>
        <w:t>metric provided</w:t>
      </w:r>
      <w:r w:rsidRPr="00503795">
        <w:rPr>
          <w:rFonts w:ascii="Calibri" w:eastAsia="Malgun Gothic" w:hAnsi="Calibri" w:cs="Batang"/>
          <w:b/>
          <w:lang w:val="en-GB" w:eastAsia="ko-KR"/>
        </w:rPr>
        <w:t xml:space="preserve"> by the donor CU.</w:t>
      </w:r>
    </w:p>
    <w:p w:rsidR="00477F9F" w:rsidRPr="004131D6" w:rsidRDefault="00477F9F" w:rsidP="00C408C7">
      <w:pPr>
        <w:rPr>
          <w:rFonts w:ascii="Calibri" w:eastAsia="Malgun Gothic" w:hAnsi="Calibri" w:cs="Batang"/>
          <w:b/>
          <w:lang w:val="en-GB" w:eastAsia="ko-KR"/>
        </w:rPr>
      </w:pPr>
    </w:p>
    <w:p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p>
    <w:p w:rsidR="00086EA3" w:rsidRDefault="00086EA3" w:rsidP="00086EA3">
      <w:pPr>
        <w:pStyle w:val="2222"/>
        <w:spacing w:after="120" w:line="288" w:lineRule="auto"/>
        <w:ind w:firstLineChars="0" w:firstLine="0"/>
        <w:jc w:val="left"/>
        <w:rPr>
          <w:rFonts w:cs="Times New Roman"/>
          <w:lang w:eastAsia="ko-KR"/>
        </w:rPr>
      </w:pPr>
      <w:r>
        <w:rPr>
          <w:rFonts w:cs="Times New Roman"/>
          <w:lang w:eastAsia="ko-KR"/>
        </w:rPr>
        <w:t xml:space="preserve">[1] </w:t>
      </w:r>
      <w:r w:rsidRPr="00BD7D01">
        <w:rPr>
          <w:rFonts w:cs="Times New Roman"/>
          <w:lang w:eastAsia="ko-KR"/>
        </w:rPr>
        <w:t>R2-1905063</w:t>
      </w:r>
      <w:r>
        <w:rPr>
          <w:rFonts w:cs="Times New Roman"/>
          <w:lang w:eastAsia="ko-KR"/>
        </w:rPr>
        <w:t xml:space="preserve">, </w:t>
      </w:r>
      <w:r w:rsidRPr="00BD7D01">
        <w:rPr>
          <w:rFonts w:cs="Times New Roman"/>
          <w:lang w:eastAsia="ko-KR"/>
        </w:rPr>
        <w:t>Summary of email discussion [105#46][IAB] Routing</w:t>
      </w:r>
      <w:r>
        <w:rPr>
          <w:rFonts w:cs="Times New Roman"/>
          <w:lang w:eastAsia="ko-KR"/>
        </w:rPr>
        <w:t xml:space="preserve">, </w:t>
      </w:r>
      <w:r w:rsidRPr="00BD7D01">
        <w:rPr>
          <w:rFonts w:cs="Times New Roman"/>
          <w:lang w:eastAsia="ko-KR"/>
        </w:rPr>
        <w:t>LG Electronics Inc.</w:t>
      </w:r>
      <w:r>
        <w:rPr>
          <w:rFonts w:cs="Times New Roman"/>
          <w:lang w:eastAsia="ko-KR"/>
        </w:rPr>
        <w:t>.</w:t>
      </w:r>
    </w:p>
    <w:p w:rsidR="00086EA3" w:rsidRPr="00BD2886" w:rsidRDefault="00086EA3" w:rsidP="00086EA3">
      <w:pPr>
        <w:pStyle w:val="2222"/>
        <w:spacing w:after="120" w:line="288" w:lineRule="auto"/>
        <w:ind w:firstLineChars="0" w:firstLine="0"/>
        <w:jc w:val="left"/>
        <w:rPr>
          <w:rFonts w:cs="Times New Roman"/>
          <w:lang w:eastAsia="ko-KR"/>
        </w:rPr>
      </w:pPr>
      <w:r>
        <w:rPr>
          <w:rFonts w:cs="Times New Roman"/>
          <w:lang w:eastAsia="ko-KR"/>
        </w:rPr>
        <w:t xml:space="preserve">[2] Draft report of 3GPP TSG </w:t>
      </w:r>
      <w:r w:rsidRPr="00B82CC4">
        <w:rPr>
          <w:rFonts w:cs="Times New Roman"/>
          <w:lang w:eastAsia="ko-KR"/>
        </w:rPr>
        <w:t>RAN</w:t>
      </w:r>
      <w:r>
        <w:rPr>
          <w:rFonts w:cs="Times New Roman"/>
          <w:lang w:eastAsia="ko-KR"/>
        </w:rPr>
        <w:t>2</w:t>
      </w:r>
      <w:r w:rsidRPr="00B82CC4">
        <w:rPr>
          <w:rFonts w:cs="Times New Roman"/>
          <w:lang w:eastAsia="ko-KR"/>
        </w:rPr>
        <w:t>#10</w:t>
      </w:r>
      <w:r>
        <w:rPr>
          <w:rFonts w:cs="Times New Roman"/>
          <w:lang w:eastAsia="ko-KR"/>
        </w:rPr>
        <w:t>5</w:t>
      </w:r>
      <w:r w:rsidRPr="00B82CC4">
        <w:rPr>
          <w:rFonts w:cs="Times New Roman"/>
          <w:lang w:eastAsia="ko-KR"/>
        </w:rPr>
        <w:t>bis</w:t>
      </w:r>
      <w:r>
        <w:rPr>
          <w:rFonts w:cs="Times New Roman"/>
          <w:lang w:eastAsia="ko-KR"/>
        </w:rPr>
        <w:t xml:space="preserve"> meeting</w:t>
      </w:r>
      <w:r w:rsidRPr="00B82CC4">
        <w:rPr>
          <w:rFonts w:cs="Times New Roman"/>
          <w:lang w:eastAsia="ko-KR"/>
        </w:rPr>
        <w:t>, Xi’an, China</w:t>
      </w:r>
      <w:r>
        <w:rPr>
          <w:rFonts w:cs="Times New Roman"/>
          <w:lang w:eastAsia="ko-KR"/>
        </w:rPr>
        <w:t>.</w:t>
      </w:r>
    </w:p>
    <w:p w:rsidR="004A7002" w:rsidRDefault="004A7002" w:rsidP="00086EA3">
      <w:pPr>
        <w:pStyle w:val="2222"/>
        <w:spacing w:after="120" w:line="288" w:lineRule="auto"/>
        <w:ind w:firstLineChars="0" w:firstLine="0"/>
        <w:jc w:val="left"/>
        <w:rPr>
          <w:rFonts w:cs="Times New Roman"/>
          <w:lang w:eastAsia="ko-KR"/>
        </w:rPr>
      </w:pPr>
    </w:p>
    <w:sectPr w:rsidR="004A700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3636" w:rsidRDefault="00583636" w:rsidP="00424124">
      <w:pPr>
        <w:spacing w:before="0" w:after="0"/>
      </w:pPr>
      <w:r>
        <w:separator/>
      </w:r>
    </w:p>
  </w:endnote>
  <w:endnote w:type="continuationSeparator" w:id="0">
    <w:p w:rsidR="00583636" w:rsidRDefault="00583636"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4D"/>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3636" w:rsidRDefault="00583636" w:rsidP="00424124">
      <w:pPr>
        <w:spacing w:before="0" w:after="0"/>
      </w:pPr>
      <w:r>
        <w:separator/>
      </w:r>
    </w:p>
  </w:footnote>
  <w:footnote w:type="continuationSeparator" w:id="0">
    <w:p w:rsidR="00583636" w:rsidRDefault="00583636"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1E18D3"/>
    <w:multiLevelType w:val="multilevel"/>
    <w:tmpl w:val="431E18D3"/>
    <w:lvl w:ilvl="0">
      <w:numFmt w:val="bullet"/>
      <w:lvlText w:val="-"/>
      <w:lvlJc w:val="left"/>
      <w:pPr>
        <w:ind w:left="800" w:hanging="400"/>
      </w:pPr>
      <w:rPr>
        <w:rFonts w:ascii="Calibri" w:eastAsia="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0FD36CC"/>
    <w:multiLevelType w:val="hybridMultilevel"/>
    <w:tmpl w:val="02E2F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FB130E"/>
    <w:multiLevelType w:val="hybridMultilevel"/>
    <w:tmpl w:val="5134CE8E"/>
    <w:lvl w:ilvl="0" w:tplc="5A166B50">
      <w:start w:val="550"/>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6"/>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6"/>
  </w:num>
  <w:num w:numId="8">
    <w:abstractNumId w:val="13"/>
  </w:num>
  <w:num w:numId="9">
    <w:abstractNumId w:val="2"/>
  </w:num>
  <w:num w:numId="10">
    <w:abstractNumId w:val="3"/>
  </w:num>
  <w:num w:numId="11">
    <w:abstractNumId w:val="17"/>
  </w:num>
  <w:num w:numId="12">
    <w:abstractNumId w:val="8"/>
  </w:num>
  <w:num w:numId="13">
    <w:abstractNumId w:val="9"/>
  </w:num>
  <w:num w:numId="14">
    <w:abstractNumId w:val="22"/>
  </w:num>
  <w:num w:numId="15">
    <w:abstractNumId w:val="1"/>
  </w:num>
  <w:num w:numId="16">
    <w:abstractNumId w:val="20"/>
  </w:num>
  <w:num w:numId="17">
    <w:abstractNumId w:val="15"/>
  </w:num>
  <w:num w:numId="18">
    <w:abstractNumId w:val="10"/>
  </w:num>
  <w:num w:numId="19">
    <w:abstractNumId w:val="5"/>
  </w:num>
  <w:num w:numId="20">
    <w:abstractNumId w:val="21"/>
  </w:num>
  <w:num w:numId="21">
    <w:abstractNumId w:val="18"/>
  </w:num>
  <w:num w:numId="22">
    <w:abstractNumId w:val="14"/>
  </w:num>
  <w:num w:numId="2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522"/>
    <w:rsid w:val="000052FF"/>
    <w:rsid w:val="00005D82"/>
    <w:rsid w:val="00012B21"/>
    <w:rsid w:val="0001485D"/>
    <w:rsid w:val="000149EC"/>
    <w:rsid w:val="00020F1A"/>
    <w:rsid w:val="00032D47"/>
    <w:rsid w:val="000337FC"/>
    <w:rsid w:val="000341AA"/>
    <w:rsid w:val="00042177"/>
    <w:rsid w:val="000440EF"/>
    <w:rsid w:val="00044947"/>
    <w:rsid w:val="000463E4"/>
    <w:rsid w:val="00051B4B"/>
    <w:rsid w:val="00051EBB"/>
    <w:rsid w:val="0005289E"/>
    <w:rsid w:val="0005353F"/>
    <w:rsid w:val="000550BC"/>
    <w:rsid w:val="00057E9B"/>
    <w:rsid w:val="000643FA"/>
    <w:rsid w:val="00070728"/>
    <w:rsid w:val="000730C9"/>
    <w:rsid w:val="00074609"/>
    <w:rsid w:val="0007575F"/>
    <w:rsid w:val="00075B2C"/>
    <w:rsid w:val="00075FD1"/>
    <w:rsid w:val="00077712"/>
    <w:rsid w:val="0008078C"/>
    <w:rsid w:val="00085800"/>
    <w:rsid w:val="000865E3"/>
    <w:rsid w:val="00086EA3"/>
    <w:rsid w:val="000917C5"/>
    <w:rsid w:val="00092B6E"/>
    <w:rsid w:val="00094DA3"/>
    <w:rsid w:val="00097DC6"/>
    <w:rsid w:val="000A36A9"/>
    <w:rsid w:val="000B0720"/>
    <w:rsid w:val="000B58AF"/>
    <w:rsid w:val="000B6D99"/>
    <w:rsid w:val="000C05C0"/>
    <w:rsid w:val="000C21D0"/>
    <w:rsid w:val="000C57B9"/>
    <w:rsid w:val="000D176F"/>
    <w:rsid w:val="000D38DC"/>
    <w:rsid w:val="000E2283"/>
    <w:rsid w:val="000E29D8"/>
    <w:rsid w:val="000E7524"/>
    <w:rsid w:val="000F0C2D"/>
    <w:rsid w:val="000F259D"/>
    <w:rsid w:val="000F41FD"/>
    <w:rsid w:val="000F61FB"/>
    <w:rsid w:val="000F6CCA"/>
    <w:rsid w:val="0010303E"/>
    <w:rsid w:val="0011327D"/>
    <w:rsid w:val="0011588C"/>
    <w:rsid w:val="00116DA6"/>
    <w:rsid w:val="001241A4"/>
    <w:rsid w:val="001279BC"/>
    <w:rsid w:val="00134C07"/>
    <w:rsid w:val="001356D6"/>
    <w:rsid w:val="00137E15"/>
    <w:rsid w:val="001417A8"/>
    <w:rsid w:val="00153793"/>
    <w:rsid w:val="00162B42"/>
    <w:rsid w:val="00164A98"/>
    <w:rsid w:val="00172743"/>
    <w:rsid w:val="00175301"/>
    <w:rsid w:val="00177401"/>
    <w:rsid w:val="00184E81"/>
    <w:rsid w:val="001855A0"/>
    <w:rsid w:val="001901AC"/>
    <w:rsid w:val="001A5A68"/>
    <w:rsid w:val="001A6212"/>
    <w:rsid w:val="001A75E0"/>
    <w:rsid w:val="001B7305"/>
    <w:rsid w:val="001B731B"/>
    <w:rsid w:val="001C20E2"/>
    <w:rsid w:val="001C28FD"/>
    <w:rsid w:val="001C4ACE"/>
    <w:rsid w:val="001C699C"/>
    <w:rsid w:val="001E02F3"/>
    <w:rsid w:val="001E0CE1"/>
    <w:rsid w:val="001E404E"/>
    <w:rsid w:val="001E5602"/>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62116"/>
    <w:rsid w:val="002641FE"/>
    <w:rsid w:val="00265254"/>
    <w:rsid w:val="002654F5"/>
    <w:rsid w:val="00267362"/>
    <w:rsid w:val="002725E8"/>
    <w:rsid w:val="00272EC2"/>
    <w:rsid w:val="00273B2A"/>
    <w:rsid w:val="0027434B"/>
    <w:rsid w:val="00274677"/>
    <w:rsid w:val="00276785"/>
    <w:rsid w:val="00277973"/>
    <w:rsid w:val="00287D4D"/>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65A78"/>
    <w:rsid w:val="00372594"/>
    <w:rsid w:val="003727DB"/>
    <w:rsid w:val="00385177"/>
    <w:rsid w:val="00386642"/>
    <w:rsid w:val="00392176"/>
    <w:rsid w:val="003921D6"/>
    <w:rsid w:val="00397058"/>
    <w:rsid w:val="003A0594"/>
    <w:rsid w:val="003A298A"/>
    <w:rsid w:val="003A553B"/>
    <w:rsid w:val="003A566A"/>
    <w:rsid w:val="003B1EC9"/>
    <w:rsid w:val="003B5456"/>
    <w:rsid w:val="003C2392"/>
    <w:rsid w:val="003C2E75"/>
    <w:rsid w:val="003C3250"/>
    <w:rsid w:val="003E02B9"/>
    <w:rsid w:val="003E1304"/>
    <w:rsid w:val="003E35D4"/>
    <w:rsid w:val="003E7121"/>
    <w:rsid w:val="003F0731"/>
    <w:rsid w:val="003F33B4"/>
    <w:rsid w:val="004011AC"/>
    <w:rsid w:val="00405F6D"/>
    <w:rsid w:val="004128F8"/>
    <w:rsid w:val="004131D6"/>
    <w:rsid w:val="00414A23"/>
    <w:rsid w:val="00424124"/>
    <w:rsid w:val="00430E89"/>
    <w:rsid w:val="00434212"/>
    <w:rsid w:val="00440F6E"/>
    <w:rsid w:val="00443645"/>
    <w:rsid w:val="00443CD6"/>
    <w:rsid w:val="004552C9"/>
    <w:rsid w:val="004559AA"/>
    <w:rsid w:val="004607AC"/>
    <w:rsid w:val="0046127E"/>
    <w:rsid w:val="00464389"/>
    <w:rsid w:val="00466E46"/>
    <w:rsid w:val="004678E1"/>
    <w:rsid w:val="004709B7"/>
    <w:rsid w:val="00473281"/>
    <w:rsid w:val="00473B68"/>
    <w:rsid w:val="00477F9F"/>
    <w:rsid w:val="0048301B"/>
    <w:rsid w:val="00494D73"/>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5007E9"/>
    <w:rsid w:val="00503795"/>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5514B"/>
    <w:rsid w:val="0056238B"/>
    <w:rsid w:val="00562566"/>
    <w:rsid w:val="00565BDB"/>
    <w:rsid w:val="005666A4"/>
    <w:rsid w:val="0057145F"/>
    <w:rsid w:val="00575859"/>
    <w:rsid w:val="005758E7"/>
    <w:rsid w:val="005778C8"/>
    <w:rsid w:val="0058120D"/>
    <w:rsid w:val="00583636"/>
    <w:rsid w:val="0058506A"/>
    <w:rsid w:val="00591190"/>
    <w:rsid w:val="00591208"/>
    <w:rsid w:val="005A18B4"/>
    <w:rsid w:val="005A60B4"/>
    <w:rsid w:val="005B47BD"/>
    <w:rsid w:val="005B69C2"/>
    <w:rsid w:val="005B6FA6"/>
    <w:rsid w:val="005C55D3"/>
    <w:rsid w:val="005D2C51"/>
    <w:rsid w:val="005D78CA"/>
    <w:rsid w:val="005F21BF"/>
    <w:rsid w:val="005F613D"/>
    <w:rsid w:val="005F705D"/>
    <w:rsid w:val="00600F57"/>
    <w:rsid w:val="00603015"/>
    <w:rsid w:val="0060603E"/>
    <w:rsid w:val="00621955"/>
    <w:rsid w:val="00632789"/>
    <w:rsid w:val="00633934"/>
    <w:rsid w:val="00634707"/>
    <w:rsid w:val="00636F9E"/>
    <w:rsid w:val="006439F2"/>
    <w:rsid w:val="00644034"/>
    <w:rsid w:val="006477B7"/>
    <w:rsid w:val="00652AC8"/>
    <w:rsid w:val="0065437E"/>
    <w:rsid w:val="0066157D"/>
    <w:rsid w:val="00665165"/>
    <w:rsid w:val="00665936"/>
    <w:rsid w:val="006703A8"/>
    <w:rsid w:val="0067125A"/>
    <w:rsid w:val="00671E30"/>
    <w:rsid w:val="006756FB"/>
    <w:rsid w:val="00677BD0"/>
    <w:rsid w:val="00685B82"/>
    <w:rsid w:val="00685E11"/>
    <w:rsid w:val="0069142B"/>
    <w:rsid w:val="0069705B"/>
    <w:rsid w:val="006A0EDC"/>
    <w:rsid w:val="006A18DB"/>
    <w:rsid w:val="006A2D2E"/>
    <w:rsid w:val="006B67B9"/>
    <w:rsid w:val="006C0BAC"/>
    <w:rsid w:val="006C452E"/>
    <w:rsid w:val="006C7692"/>
    <w:rsid w:val="006D2F17"/>
    <w:rsid w:val="006D6ABC"/>
    <w:rsid w:val="006E790B"/>
    <w:rsid w:val="006F055C"/>
    <w:rsid w:val="006F3E32"/>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21F2"/>
    <w:rsid w:val="007338D6"/>
    <w:rsid w:val="00736776"/>
    <w:rsid w:val="00740B36"/>
    <w:rsid w:val="007416A2"/>
    <w:rsid w:val="00745452"/>
    <w:rsid w:val="00747A6F"/>
    <w:rsid w:val="0075622F"/>
    <w:rsid w:val="0075669D"/>
    <w:rsid w:val="0076067D"/>
    <w:rsid w:val="00766677"/>
    <w:rsid w:val="00777819"/>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2F3"/>
    <w:rsid w:val="007E546F"/>
    <w:rsid w:val="007F0AF3"/>
    <w:rsid w:val="007F1928"/>
    <w:rsid w:val="007F2266"/>
    <w:rsid w:val="007F392E"/>
    <w:rsid w:val="00800F70"/>
    <w:rsid w:val="00811A1B"/>
    <w:rsid w:val="00811FCD"/>
    <w:rsid w:val="00814815"/>
    <w:rsid w:val="00824DED"/>
    <w:rsid w:val="00826E5A"/>
    <w:rsid w:val="0083713D"/>
    <w:rsid w:val="00840540"/>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5687"/>
    <w:rsid w:val="00886940"/>
    <w:rsid w:val="00886B7B"/>
    <w:rsid w:val="00887AB4"/>
    <w:rsid w:val="00890605"/>
    <w:rsid w:val="00894290"/>
    <w:rsid w:val="008A25A1"/>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1829"/>
    <w:rsid w:val="009445D2"/>
    <w:rsid w:val="009453B3"/>
    <w:rsid w:val="00954A35"/>
    <w:rsid w:val="009550DA"/>
    <w:rsid w:val="00957172"/>
    <w:rsid w:val="00957CD1"/>
    <w:rsid w:val="00961DB2"/>
    <w:rsid w:val="0097292F"/>
    <w:rsid w:val="009741D9"/>
    <w:rsid w:val="009750CC"/>
    <w:rsid w:val="00980746"/>
    <w:rsid w:val="00982CA4"/>
    <w:rsid w:val="00984235"/>
    <w:rsid w:val="00992432"/>
    <w:rsid w:val="00993D92"/>
    <w:rsid w:val="00997812"/>
    <w:rsid w:val="00997E4E"/>
    <w:rsid w:val="009A4D63"/>
    <w:rsid w:val="009A54FC"/>
    <w:rsid w:val="009B08C5"/>
    <w:rsid w:val="009B52C0"/>
    <w:rsid w:val="009B75E8"/>
    <w:rsid w:val="009C2167"/>
    <w:rsid w:val="009C21C2"/>
    <w:rsid w:val="009D46C1"/>
    <w:rsid w:val="009E0D02"/>
    <w:rsid w:val="009E4418"/>
    <w:rsid w:val="009E5838"/>
    <w:rsid w:val="009F4C12"/>
    <w:rsid w:val="00A0235E"/>
    <w:rsid w:val="00A04526"/>
    <w:rsid w:val="00A1043E"/>
    <w:rsid w:val="00A11704"/>
    <w:rsid w:val="00A11840"/>
    <w:rsid w:val="00A14282"/>
    <w:rsid w:val="00A21D13"/>
    <w:rsid w:val="00A22671"/>
    <w:rsid w:val="00A22C61"/>
    <w:rsid w:val="00A262E4"/>
    <w:rsid w:val="00A26EC3"/>
    <w:rsid w:val="00A27484"/>
    <w:rsid w:val="00A300E0"/>
    <w:rsid w:val="00A3158B"/>
    <w:rsid w:val="00A34F57"/>
    <w:rsid w:val="00A359C7"/>
    <w:rsid w:val="00A41CF3"/>
    <w:rsid w:val="00A456B1"/>
    <w:rsid w:val="00A4674D"/>
    <w:rsid w:val="00A547CE"/>
    <w:rsid w:val="00A55FF3"/>
    <w:rsid w:val="00A603CE"/>
    <w:rsid w:val="00A605F1"/>
    <w:rsid w:val="00A61CB6"/>
    <w:rsid w:val="00A64CF7"/>
    <w:rsid w:val="00A672BA"/>
    <w:rsid w:val="00A72B33"/>
    <w:rsid w:val="00A75C63"/>
    <w:rsid w:val="00A821EA"/>
    <w:rsid w:val="00A8721E"/>
    <w:rsid w:val="00A92495"/>
    <w:rsid w:val="00A926C9"/>
    <w:rsid w:val="00AA12B3"/>
    <w:rsid w:val="00AA5160"/>
    <w:rsid w:val="00AA5899"/>
    <w:rsid w:val="00AB0589"/>
    <w:rsid w:val="00AB75A3"/>
    <w:rsid w:val="00AB7FC6"/>
    <w:rsid w:val="00AC05AE"/>
    <w:rsid w:val="00AD0F30"/>
    <w:rsid w:val="00AD115D"/>
    <w:rsid w:val="00AD16AE"/>
    <w:rsid w:val="00AD6C53"/>
    <w:rsid w:val="00AE72F4"/>
    <w:rsid w:val="00AF0A4B"/>
    <w:rsid w:val="00AF3BF2"/>
    <w:rsid w:val="00AF4BBC"/>
    <w:rsid w:val="00AF5875"/>
    <w:rsid w:val="00AF65DE"/>
    <w:rsid w:val="00AF733C"/>
    <w:rsid w:val="00B04278"/>
    <w:rsid w:val="00B12672"/>
    <w:rsid w:val="00B2434D"/>
    <w:rsid w:val="00B24D29"/>
    <w:rsid w:val="00B32216"/>
    <w:rsid w:val="00B34716"/>
    <w:rsid w:val="00B3707E"/>
    <w:rsid w:val="00B40DE1"/>
    <w:rsid w:val="00B55FA2"/>
    <w:rsid w:val="00B61A13"/>
    <w:rsid w:val="00B6232D"/>
    <w:rsid w:val="00B648CA"/>
    <w:rsid w:val="00B714C9"/>
    <w:rsid w:val="00B723D7"/>
    <w:rsid w:val="00B74894"/>
    <w:rsid w:val="00B749FB"/>
    <w:rsid w:val="00B75FF7"/>
    <w:rsid w:val="00B82B83"/>
    <w:rsid w:val="00B909F7"/>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E26B4"/>
    <w:rsid w:val="00BF0257"/>
    <w:rsid w:val="00BF2C5D"/>
    <w:rsid w:val="00BF31E3"/>
    <w:rsid w:val="00BF5F1C"/>
    <w:rsid w:val="00C04E8A"/>
    <w:rsid w:val="00C07731"/>
    <w:rsid w:val="00C17E83"/>
    <w:rsid w:val="00C218A9"/>
    <w:rsid w:val="00C261F4"/>
    <w:rsid w:val="00C30C6F"/>
    <w:rsid w:val="00C36065"/>
    <w:rsid w:val="00C408C7"/>
    <w:rsid w:val="00C40BE6"/>
    <w:rsid w:val="00C47EE0"/>
    <w:rsid w:val="00C534CA"/>
    <w:rsid w:val="00C56C9F"/>
    <w:rsid w:val="00C63006"/>
    <w:rsid w:val="00C67568"/>
    <w:rsid w:val="00C7007B"/>
    <w:rsid w:val="00C71871"/>
    <w:rsid w:val="00C724F1"/>
    <w:rsid w:val="00C735F1"/>
    <w:rsid w:val="00C913B6"/>
    <w:rsid w:val="00C91C5E"/>
    <w:rsid w:val="00C92E44"/>
    <w:rsid w:val="00CA6EA3"/>
    <w:rsid w:val="00CB15A7"/>
    <w:rsid w:val="00CB6D97"/>
    <w:rsid w:val="00CC09CE"/>
    <w:rsid w:val="00CD0E88"/>
    <w:rsid w:val="00CD7B54"/>
    <w:rsid w:val="00CE0C9D"/>
    <w:rsid w:val="00CE1FF5"/>
    <w:rsid w:val="00CF6C7D"/>
    <w:rsid w:val="00D10682"/>
    <w:rsid w:val="00D11CE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C24"/>
    <w:rsid w:val="00D55FAB"/>
    <w:rsid w:val="00D56786"/>
    <w:rsid w:val="00D61EAB"/>
    <w:rsid w:val="00D6706B"/>
    <w:rsid w:val="00D701D3"/>
    <w:rsid w:val="00D724F9"/>
    <w:rsid w:val="00D7445F"/>
    <w:rsid w:val="00D91E8D"/>
    <w:rsid w:val="00D92B1D"/>
    <w:rsid w:val="00D93FEB"/>
    <w:rsid w:val="00DA52F4"/>
    <w:rsid w:val="00DB0323"/>
    <w:rsid w:val="00DB04CF"/>
    <w:rsid w:val="00DB1FA7"/>
    <w:rsid w:val="00DB3BFC"/>
    <w:rsid w:val="00DC0E31"/>
    <w:rsid w:val="00DC4FEF"/>
    <w:rsid w:val="00DC70D0"/>
    <w:rsid w:val="00DC7DD6"/>
    <w:rsid w:val="00DD3971"/>
    <w:rsid w:val="00DE2A3F"/>
    <w:rsid w:val="00DF5F45"/>
    <w:rsid w:val="00E03E65"/>
    <w:rsid w:val="00E06B55"/>
    <w:rsid w:val="00E110BA"/>
    <w:rsid w:val="00E13146"/>
    <w:rsid w:val="00E174FC"/>
    <w:rsid w:val="00E20070"/>
    <w:rsid w:val="00E20994"/>
    <w:rsid w:val="00E22124"/>
    <w:rsid w:val="00E261AD"/>
    <w:rsid w:val="00E324C0"/>
    <w:rsid w:val="00E40344"/>
    <w:rsid w:val="00E40E4D"/>
    <w:rsid w:val="00E4377A"/>
    <w:rsid w:val="00E46D61"/>
    <w:rsid w:val="00E54061"/>
    <w:rsid w:val="00E545F2"/>
    <w:rsid w:val="00E54CC6"/>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B588F"/>
    <w:rsid w:val="00ED13E9"/>
    <w:rsid w:val="00ED1CBF"/>
    <w:rsid w:val="00ED7292"/>
    <w:rsid w:val="00EE2068"/>
    <w:rsid w:val="00EE4A18"/>
    <w:rsid w:val="00EF1F69"/>
    <w:rsid w:val="00EF61D1"/>
    <w:rsid w:val="00F05333"/>
    <w:rsid w:val="00F1311C"/>
    <w:rsid w:val="00F154D0"/>
    <w:rsid w:val="00F20DFF"/>
    <w:rsid w:val="00F246F5"/>
    <w:rsid w:val="00F261D6"/>
    <w:rsid w:val="00F26D45"/>
    <w:rsid w:val="00F30C84"/>
    <w:rsid w:val="00F3461F"/>
    <w:rsid w:val="00F35704"/>
    <w:rsid w:val="00F35911"/>
    <w:rsid w:val="00F35DD7"/>
    <w:rsid w:val="00F41D99"/>
    <w:rsid w:val="00F42D43"/>
    <w:rsid w:val="00F463C9"/>
    <w:rsid w:val="00F57965"/>
    <w:rsid w:val="00F62C88"/>
    <w:rsid w:val="00F71810"/>
    <w:rsid w:val="00F72ABE"/>
    <w:rsid w:val="00F72B1B"/>
    <w:rsid w:val="00F7596C"/>
    <w:rsid w:val="00F75F2B"/>
    <w:rsid w:val="00F76733"/>
    <w:rsid w:val="00F76A86"/>
    <w:rsid w:val="00F77E12"/>
    <w:rsid w:val="00F814DE"/>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897AAA"/>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D103E-CAE6-41C0-A92A-DE2286474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3</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9472</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32</cp:revision>
  <cp:lastPrinted>2018-09-28T20:14:00Z</cp:lastPrinted>
  <dcterms:created xsi:type="dcterms:W3CDTF">2019-04-27T04:34:00Z</dcterms:created>
  <dcterms:modified xsi:type="dcterms:W3CDTF">2019-05-03T01:42:00Z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